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spacing w:line="48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常州市政府采购项目</w:t>
      </w:r>
      <w:r/>
    </w:p>
    <w:p>
      <w:pPr>
        <w:jc w:val="center"/>
        <w:spacing w:line="48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left"/>
        <w:spacing w:line="360" w:lineRule="auto"/>
        <w:tabs>
          <w:tab w:val="left" w:pos="5609" w:leader="none"/>
        </w:tabs>
        <w:rPr>
          <w:rFonts w:hint="eastAsia" w:ascii="Times New Roman" w:hAnsi="Times New Roman" w:eastAsia="宋体" w:cs="Times New Roman"/>
          <w:bCs/>
          <w:color w:val="auto"/>
          <w:sz w:val="36"/>
          <w:szCs w:val="36"/>
          <w:highlight w:val="none"/>
          <w:lang w:eastAsia="zh-CN"/>
        </w:rPr>
      </w:pPr>
      <w:r/>
      <w:bookmarkStart w:id="0" w:name="_Hlk107438019"/>
      <w:r>
        <w:rPr>
          <w:rFonts w:ascii="Times New Roman" w:hAnsi="Times New Roman" w:cs="Times New Roman"/>
          <w:bCs/>
          <w:color w:val="auto"/>
          <w:sz w:val="36"/>
          <w:szCs w:val="36"/>
          <w:highlight w:val="none"/>
        </w:rPr>
        <w:t xml:space="preserve">项目名称：</w:t>
      </w:r>
      <w:r>
        <w:rPr>
          <w:rFonts w:hint="eastAsia" w:cs="Times New Roman"/>
          <w:bCs/>
          <w:color w:val="auto"/>
          <w:sz w:val="36"/>
          <w:szCs w:val="36"/>
          <w:highlight w:val="none"/>
          <w:lang w:eastAsia="zh-CN"/>
        </w:rPr>
        <w:t xml:space="preserve">龙锦路南侧、大明北路东侧（QQ030201-01）地块固废混合物合规处置项目</w:t>
      </w:r>
      <w:r/>
    </w:p>
    <w:p>
      <w:pPr>
        <w:jc w:val="left"/>
        <w:spacing w:line="360" w:lineRule="auto"/>
        <w:tabs>
          <w:tab w:val="left" w:pos="3240" w:leader="none"/>
          <w:tab w:val="left" w:pos="3420" w:leader="none"/>
        </w:tabs>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 xml:space="preserve">项目编号：</w:t>
      </w:r>
      <w:r>
        <w:rPr>
          <w:rFonts w:hint="eastAsia" w:cs="Times New Roman"/>
          <w:bCs/>
          <w:color w:val="auto"/>
          <w:sz w:val="36"/>
          <w:szCs w:val="36"/>
          <w:highlight w:val="none"/>
          <w:lang w:eastAsia="zh-CN"/>
        </w:rPr>
        <w:t xml:space="preserve">JSZC-320402022-ZHWF-G2026-0004</w:t>
      </w:r>
      <w:r>
        <w:rPr>
          <w:rFonts w:hint="eastAsia" w:ascii="Times New Roman" w:hAnsi="Times New Roman" w:cs="Times New Roman"/>
          <w:bCs/>
          <w:color w:val="auto"/>
          <w:sz w:val="36"/>
          <w:szCs w:val="36"/>
          <w:highlight w:val="none"/>
          <w:lang w:eastAsia="zh-CN"/>
        </w:rPr>
        <w:t xml:space="preserve"> </w:t>
      </w:r>
      <w:r/>
    </w:p>
    <w:p>
      <w:pPr>
        <w:jc w:val="left"/>
        <w:spacing w:line="360" w:lineRule="auto"/>
        <w:tabs>
          <w:tab w:val="left" w:pos="3240" w:leader="none"/>
          <w:tab w:val="left" w:pos="3420" w:leader="none"/>
        </w:tabs>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 xml:space="preserve">采 购 人：</w:t>
      </w:r>
      <w:r>
        <w:rPr>
          <w:rFonts w:hint="eastAsia" w:cs="Times New Roman"/>
          <w:bCs/>
          <w:color w:val="auto"/>
          <w:sz w:val="36"/>
          <w:szCs w:val="36"/>
          <w:highlight w:val="none"/>
          <w:lang w:eastAsia="zh-CN"/>
        </w:rPr>
        <w:t xml:space="preserve">江苏常州天宁经济开发区管理委员会</w:t>
      </w:r>
      <w:r/>
    </w:p>
    <w:p>
      <w:pPr>
        <w:jc w:val="left"/>
        <w:spacing w:line="360" w:lineRule="auto"/>
        <w:tabs>
          <w:tab w:val="left" w:pos="3240" w:leader="none"/>
          <w:tab w:val="left" w:pos="3420" w:leader="none"/>
        </w:tabs>
        <w:rPr>
          <w:rFonts w:hint="eastAsia" w:ascii="Times New Roman" w:hAnsi="Times New Roman" w:eastAsia="宋体" w:cs="Times New Roman"/>
          <w:bCs/>
          <w:color w:val="auto"/>
          <w:sz w:val="36"/>
          <w:szCs w:val="36"/>
          <w:highlight w:val="none"/>
          <w:lang w:eastAsia="zh-CN"/>
        </w:rPr>
      </w:pPr>
      <w:r>
        <w:rPr>
          <w:rFonts w:hint="eastAsia" w:ascii="Times New Roman" w:hAnsi="Times New Roman" w:cs="Times New Roman"/>
          <w:bCs/>
          <w:color w:val="auto"/>
          <w:sz w:val="36"/>
          <w:szCs w:val="36"/>
          <w:highlight w:val="none"/>
        </w:rPr>
        <w:t xml:space="preserve">采购</w:t>
      </w:r>
      <w:r>
        <w:rPr>
          <w:rFonts w:ascii="Times New Roman" w:hAnsi="Times New Roman" w:cs="Times New Roman"/>
          <w:bCs/>
          <w:color w:val="auto"/>
          <w:sz w:val="36"/>
          <w:szCs w:val="36"/>
          <w:highlight w:val="none"/>
        </w:rPr>
        <w:t xml:space="preserve">代理机构：</w:t>
      </w:r>
      <w:r>
        <w:rPr>
          <w:rFonts w:hint="eastAsia" w:ascii="Times New Roman" w:hAnsi="Times New Roman" w:cs="Times New Roman"/>
          <w:bCs/>
          <w:color w:val="auto"/>
          <w:sz w:val="36"/>
          <w:szCs w:val="36"/>
          <w:highlight w:val="none"/>
          <w:lang w:eastAsia="zh-CN"/>
        </w:rPr>
        <w:t xml:space="preserve">江苏正誉项目管理有限公司</w:t>
      </w:r>
      <w:r/>
    </w:p>
    <w:p>
      <w:pPr>
        <w:jc w:val="both"/>
        <w:spacing w:line="720" w:lineRule="auto"/>
        <w:rPr>
          <w:rFonts w:hint="eastAsia" w:ascii="宋体" w:hAnsi="宋体" w:eastAsia="宋体" w:cs="宋体"/>
          <w:b/>
          <w:color w:val="auto"/>
          <w:sz w:val="32"/>
          <w:szCs w:val="32"/>
          <w:highlight w:val="none"/>
        </w:rPr>
      </w:pPr>
      <w:r>
        <w:rPr>
          <w:rFonts w:hint="eastAsia" w:ascii="宋体" w:hAnsi="宋体" w:cs="宋体"/>
          <w:bCs/>
          <w:color w:val="auto"/>
          <w:sz w:val="36"/>
          <w:szCs w:val="36"/>
          <w:highlight w:val="none"/>
        </w:rPr>
        <w:t xml:space="preserve">采购时间：</w:t>
      </w:r>
      <w:r>
        <w:rPr>
          <w:rFonts w:hint="eastAsia" w:ascii="宋体" w:hAnsi="宋体" w:cs="宋体"/>
          <w:bCs/>
          <w:color w:val="auto"/>
          <w:sz w:val="36"/>
          <w:szCs w:val="36"/>
          <w:highlight w:val="none"/>
          <w:u w:val="none"/>
        </w:rPr>
        <w:t xml:space="preserve">二〇二</w:t>
      </w:r>
      <w:r>
        <w:rPr>
          <w:rFonts w:hint="eastAsia" w:ascii="宋体" w:hAnsi="宋体" w:cs="宋体"/>
          <w:bCs/>
          <w:color w:val="auto"/>
          <w:sz w:val="36"/>
          <w:szCs w:val="36"/>
          <w:highlight w:val="none"/>
          <w:u w:val="none"/>
          <w:lang w:val="en-US" w:eastAsia="zh-CN"/>
        </w:rPr>
        <w:t xml:space="preserve">六</w:t>
      </w:r>
      <w:r>
        <w:rPr>
          <w:rFonts w:hint="eastAsia" w:ascii="宋体" w:hAnsi="宋体" w:cs="宋体"/>
          <w:bCs/>
          <w:color w:val="auto"/>
          <w:sz w:val="36"/>
          <w:szCs w:val="36"/>
          <w:highlight w:val="none"/>
          <w:u w:val="none"/>
        </w:rPr>
        <w:t xml:space="preserve">年</w:t>
      </w:r>
      <w:r>
        <w:rPr>
          <w:rFonts w:hint="eastAsia" w:ascii="宋体" w:hAnsi="宋体" w:cs="宋体"/>
          <w:bCs/>
          <w:color w:val="auto"/>
          <w:sz w:val="36"/>
          <w:szCs w:val="36"/>
          <w:highlight w:val="none"/>
          <w:u w:val="none"/>
          <w:lang w:val="en-US" w:eastAsia="zh-CN"/>
        </w:rPr>
        <w:t xml:space="preserve">四</w:t>
      </w:r>
      <w:r>
        <w:rPr>
          <w:rFonts w:hint="eastAsia" w:ascii="宋体" w:hAnsi="宋体" w:cs="宋体"/>
          <w:bCs/>
          <w:color w:val="auto"/>
          <w:sz w:val="36"/>
          <w:szCs w:val="36"/>
          <w:highlight w:val="none"/>
          <w:u w:val="none"/>
        </w:rPr>
        <w:t xml:space="preserve">月</w:t>
      </w:r>
      <w:bookmarkEnd w:id="0"/>
      <w:r/>
    </w:p>
    <w:p>
      <w:pPr>
        <w:jc w:val="left"/>
        <w:widowControl/>
        <w:rPr>
          <w:rFonts w:hint="eastAsia" w:ascii="宋体" w:hAnsi="宋体" w:eastAsia="宋体" w:cs="宋体"/>
          <w:b/>
          <w:bCs/>
          <w:color w:val="auto"/>
          <w:sz w:val="4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eastAsia="宋体" w:cs="宋体"/>
          <w:b/>
          <w:bCs/>
          <w:color w:val="auto"/>
          <w:sz w:val="44"/>
          <w:highlight w:val="none"/>
        </w:rPr>
        <w:br w:type="page" w:clear="all"/>
      </w:r>
      <w:r/>
    </w:p>
    <w:p>
      <w:pPr>
        <w:jc w:val="left"/>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spacing w:line="360" w:lineRule="auto"/>
        <w:rPr>
          <w:rFonts w:hint="eastAsia" w:ascii="宋体" w:hAnsi="宋体" w:eastAsia="宋体" w:cs="宋体"/>
          <w:b/>
          <w:color w:val="auto"/>
          <w:sz w:val="44"/>
          <w:szCs w:val="44"/>
          <w:highlight w:val="none"/>
        </w:rPr>
        <w:outlineLvl w:val="0"/>
      </w:pPr>
      <w:r/>
      <w:bookmarkStart w:id="1" w:name="_Toc99301418"/>
      <w:r>
        <w:rPr>
          <w:rFonts w:hint="eastAsia" w:ascii="宋体" w:hAnsi="宋体" w:eastAsia="宋体" w:cs="宋体"/>
          <w:b/>
          <w:color w:val="auto"/>
          <w:sz w:val="44"/>
          <w:szCs w:val="44"/>
          <w:highlight w:val="none"/>
        </w:rPr>
        <w:t xml:space="preserve">目      录</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2"/>
        <w:rPr>
          <w:rFonts w:hint="eastAsia" w:ascii="宋体" w:hAnsi="宋体" w:eastAsia="宋体" w:cs="宋体"/>
          <w:b w:val="0"/>
          <w:color w:val="auto"/>
          <w:sz w:val="21"/>
          <w:szCs w:val="22"/>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r/>
    </w:p>
    <w:p>
      <w:pPr>
        <w:pStyle w:val="1162"/>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"_Toc99301419" </w:instrText>
      </w:r>
      <w:r>
        <w:rPr>
          <w:rFonts w:hint="eastAsia" w:ascii="宋体" w:hAnsi="宋体" w:eastAsia="宋体" w:cs="宋体"/>
          <w:color w:val="auto"/>
          <w:sz w:val="28"/>
          <w:szCs w:val="28"/>
          <w:highlight w:val="none"/>
        </w:rPr>
        <w:fldChar w:fldCharType="separate"/>
      </w:r>
      <w:r>
        <w:rPr>
          <w:rStyle w:val="1189"/>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62"/>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"_Toc99301420" </w:instrText>
      </w:r>
      <w:r>
        <w:rPr>
          <w:rFonts w:hint="eastAsia" w:ascii="宋体" w:hAnsi="宋体" w:eastAsia="宋体" w:cs="宋体"/>
          <w:color w:val="auto"/>
          <w:sz w:val="28"/>
          <w:szCs w:val="28"/>
          <w:highlight w:val="none"/>
        </w:rPr>
        <w:fldChar w:fldCharType="separate"/>
      </w:r>
      <w:r>
        <w:rPr>
          <w:rStyle w:val="1189"/>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62"/>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"_Toc99301421" </w:instrText>
      </w:r>
      <w:r>
        <w:rPr>
          <w:rFonts w:hint="eastAsia" w:ascii="宋体" w:hAnsi="宋体" w:eastAsia="宋体" w:cs="宋体"/>
          <w:color w:val="auto"/>
          <w:sz w:val="28"/>
          <w:szCs w:val="28"/>
          <w:highlight w:val="none"/>
        </w:rPr>
        <w:fldChar w:fldCharType="separate"/>
      </w:r>
      <w:r>
        <w:rPr>
          <w:rStyle w:val="1189"/>
          <w:rFonts w:hint="eastAsia" w:ascii="宋体" w:hAnsi="宋体" w:eastAsia="宋体" w:cs="宋体"/>
          <w:color w:val="auto"/>
          <w:sz w:val="28"/>
          <w:szCs w:val="28"/>
          <w:highlight w:val="none"/>
        </w:rPr>
        <w:t xml:space="preserve">第三章   资</w:t>
      </w:r>
      <w:bookmarkStart w:id="2" w:name="_Hlt100754117"/>
      <w:r>
        <w:rPr>
          <w:rStyle w:val="1189"/>
          <w:rFonts w:hint="eastAsia" w:ascii="宋体" w:hAnsi="宋体" w:eastAsia="宋体" w:cs="宋体"/>
          <w:color w:val="auto"/>
          <w:sz w:val="28"/>
          <w:szCs w:val="28"/>
          <w:highlight w:val="none"/>
        </w:rPr>
        <w:t xml:space="preserve">格</w:t>
      </w:r>
      <w:bookmarkEnd w:id="2"/>
      <w:r>
        <w:rPr>
          <w:rStyle w:val="1189"/>
          <w:rFonts w:hint="eastAsia" w:ascii="宋体" w:hAnsi="宋体" w:eastAsia="宋体" w:cs="宋体"/>
          <w:color w:val="auto"/>
          <w:sz w:val="28"/>
          <w:szCs w:val="28"/>
          <w:highlight w:val="none"/>
        </w:rPr>
        <w:t xml:space="preserve">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62"/>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"_Toc99301423" </w:instrText>
      </w:r>
      <w:r>
        <w:rPr>
          <w:rFonts w:hint="eastAsia" w:ascii="宋体" w:hAnsi="宋体" w:eastAsia="宋体" w:cs="宋体"/>
          <w:color w:val="auto"/>
          <w:sz w:val="28"/>
          <w:szCs w:val="28"/>
          <w:highlight w:val="none"/>
        </w:rPr>
        <w:fldChar w:fldCharType="separate"/>
      </w:r>
      <w:r>
        <w:rPr>
          <w:rStyle w:val="1189"/>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62"/>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"_Toc99301424" </w:instrText>
      </w:r>
      <w:r>
        <w:rPr>
          <w:rFonts w:hint="eastAsia" w:ascii="宋体" w:hAnsi="宋体" w:eastAsia="宋体" w:cs="宋体"/>
          <w:color w:val="auto"/>
          <w:sz w:val="28"/>
          <w:szCs w:val="28"/>
          <w:highlight w:val="none"/>
        </w:rPr>
        <w:fldChar w:fldCharType="separate"/>
      </w:r>
      <w:r>
        <w:rPr>
          <w:rStyle w:val="1189"/>
          <w:rFonts w:hint="eastAsia" w:ascii="宋体" w:hAnsi="宋体" w:eastAsia="宋体" w:cs="宋体"/>
          <w:color w:val="auto"/>
          <w:sz w:val="28"/>
          <w:szCs w:val="28"/>
          <w:highlight w:val="none"/>
        </w:rPr>
        <w:t xml:space="preserve">第五章   采购</w:t>
      </w:r>
      <w:bookmarkStart w:id="3" w:name="_Hlt100754102"/>
      <w:r/>
      <w:bookmarkStart w:id="4" w:name="_Hlt100754103"/>
      <w:r>
        <w:rPr>
          <w:rStyle w:val="1189"/>
          <w:rFonts w:hint="eastAsia" w:ascii="宋体" w:hAnsi="宋体" w:eastAsia="宋体" w:cs="宋体"/>
          <w:color w:val="auto"/>
          <w:sz w:val="28"/>
          <w:szCs w:val="28"/>
          <w:highlight w:val="none"/>
        </w:rPr>
        <w:t xml:space="preserve">需</w:t>
      </w:r>
      <w:bookmarkEnd w:id="3"/>
      <w:r/>
      <w:bookmarkEnd w:id="4"/>
      <w:r>
        <w:rPr>
          <w:rStyle w:val="1189"/>
          <w:rFonts w:hint="eastAsia" w:ascii="宋体" w:hAnsi="宋体" w:eastAsia="宋体" w:cs="宋体"/>
          <w:color w:val="auto"/>
          <w:sz w:val="28"/>
          <w:szCs w:val="28"/>
          <w:highlight w:val="none"/>
        </w:rPr>
        <w:t xml:space="preserve">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62"/>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"_Toc99301425" </w:instrText>
      </w:r>
      <w:r>
        <w:rPr>
          <w:rFonts w:hint="eastAsia" w:ascii="宋体" w:hAnsi="宋体" w:eastAsia="宋体" w:cs="宋体"/>
          <w:color w:val="auto"/>
          <w:sz w:val="28"/>
          <w:szCs w:val="28"/>
          <w:highlight w:val="none"/>
        </w:rPr>
        <w:fldChar w:fldCharType="separate"/>
      </w:r>
      <w:r>
        <w:rPr>
          <w:rStyle w:val="1189"/>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62"/>
        <w:spacing w:line="48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"_Toc99301426" </w:instrText>
      </w:r>
      <w:r>
        <w:rPr>
          <w:rFonts w:hint="eastAsia" w:ascii="宋体" w:hAnsi="宋体" w:eastAsia="宋体" w:cs="宋体"/>
          <w:color w:val="auto"/>
          <w:sz w:val="28"/>
          <w:szCs w:val="28"/>
          <w:highlight w:val="none"/>
        </w:rPr>
        <w:fldChar w:fldCharType="separate"/>
      </w:r>
      <w:r>
        <w:rPr>
          <w:rStyle w:val="1189"/>
          <w:rFonts w:hint="eastAsia" w:ascii="宋体" w:hAnsi="宋体" w:eastAsia="宋体" w:cs="宋体"/>
          <w:color w:val="auto"/>
          <w:sz w:val="28"/>
          <w:szCs w:val="28"/>
          <w:highlight w:val="none"/>
        </w:rPr>
        <w:t xml:space="preserve">第七章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_Toc99301426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62"/>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fldChar w:fldCharType="end"/>
      </w:r>
      <w:r/>
    </w:p>
    <w:p>
      <w:pPr>
        <w:jc w:val="center"/>
        <w:spacing w:line="360" w:lineRule="auto"/>
        <w:rPr>
          <w:rFonts w:hint="eastAsia" w:ascii="宋体" w:hAnsi="宋体" w:eastAsia="宋体" w:cs="宋体"/>
          <w:b/>
          <w:color w:val="auto"/>
          <w:sz w:val="36"/>
          <w:szCs w:val="36"/>
          <w:highlight w:val="none"/>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bookmarkStart w:id="5" w:name="_Toc99301419"/>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第一章   投标邀请</w:t>
      </w:r>
      <w:bookmarkEnd w:id="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11"/>
        <w:jc w:val="left"/>
        <w:spacing w:before="0" w:line="360" w:lineRule="auto"/>
        <w:rPr>
          <w:rFonts w:hint="eastAsia" w:ascii="宋体" w:hAnsi="宋体" w:eastAsia="宋体" w:cs="宋体"/>
          <w:color w:val="auto"/>
          <w:sz w:val="24"/>
          <w:szCs w:val="24"/>
          <w:highlight w:val="none"/>
        </w:rPr>
      </w:pPr>
      <w:r/>
      <w:bookmarkStart w:id="6" w:name="_Toc28359002"/>
      <w:r/>
      <w:bookmarkStart w:id="7" w:name="_Toc35393621"/>
      <w:r/>
      <w:bookmarkStart w:id="8" w:name="_Toc35393790"/>
      <w:r/>
      <w:bookmarkStart w:id="9" w:name="_Toc28359079"/>
      <w:r/>
      <w:bookmarkStart w:id="10" w:name="_Hlk24379207"/>
      <w:r>
        <w:rPr>
          <w:rFonts w:hint="eastAsia" w:ascii="宋体" w:hAnsi="宋体" w:eastAsia="宋体" w:cs="宋体"/>
          <w:color w:val="auto"/>
          <w:sz w:val="24"/>
          <w:szCs w:val="24"/>
          <w:highlight w:val="none"/>
        </w:rPr>
        <w:t xml:space="preserve">一、项目基本情况</w:t>
      </w:r>
      <w:bookmarkEnd w:id="6"/>
      <w:r/>
      <w:bookmarkEnd w:id="7"/>
      <w:r/>
      <w:bookmarkEnd w:id="8"/>
      <w:r/>
      <w:bookmarkEnd w:id="9"/>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1.项目编号/包号：</w:t>
      </w:r>
      <w:r>
        <w:rPr>
          <w:rFonts w:hint="eastAsia" w:ascii="宋体" w:hAnsi="宋体" w:cs="宋体"/>
          <w:color w:val="auto"/>
          <w:sz w:val="24"/>
          <w:highlight w:val="none"/>
          <w:u w:val="single"/>
          <w:lang w:eastAsia="zh-CN"/>
        </w:rPr>
        <w:t xml:space="preserve">JSZC-320402022-ZHWF-G2026-0004</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highlight w:val="none"/>
          <w:u w:val="single"/>
          <w:lang w:eastAsia="zh-CN"/>
        </w:rPr>
        <w:t xml:space="preserve">龙锦路南侧、大明北路东侧（QQ030201-01）地块固废混合物合规处置项目</w:t>
      </w:r>
      <w:bookmarkEnd w:id="10"/>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w:t>
      </w:r>
      <w:r>
        <w:rPr>
          <w:rFonts w:hint="eastAsia" w:ascii="宋体" w:hAnsi="宋体" w:eastAsia="宋体" w:cs="宋体"/>
          <w:color w:val="auto"/>
          <w:sz w:val="24"/>
          <w:highlight w:val="none"/>
          <w:u w:val="single"/>
        </w:rPr>
        <w:t xml:space="preserve">公开招标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4.项目预算金额：</w:t>
      </w:r>
      <w:r>
        <w:rPr>
          <w:rFonts w:hint="eastAsia" w:ascii="宋体" w:hAnsi="宋体" w:cs="宋体"/>
          <w:color w:val="auto"/>
          <w:sz w:val="24"/>
          <w:highlight w:val="none"/>
          <w:lang w:val="en-US" w:eastAsia="zh-CN"/>
        </w:rPr>
        <w:t xml:space="preserve">933</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项目最高限价：</w:t>
      </w:r>
      <w:r>
        <w:rPr>
          <w:rFonts w:hint="eastAsia" w:ascii="宋体" w:hAnsi="宋体" w:cs="宋体"/>
          <w:color w:val="auto"/>
          <w:sz w:val="24"/>
          <w:highlight w:val="none"/>
          <w:lang w:val="en-US" w:eastAsia="zh-CN"/>
        </w:rPr>
        <w:t xml:space="preserve">933</w:t>
      </w:r>
      <w:r>
        <w:rPr>
          <w:rFonts w:hint="eastAsia" w:ascii="宋体" w:hAnsi="宋体" w:eastAsia="宋体" w:cs="宋体"/>
          <w:color w:val="auto"/>
          <w:sz w:val="24"/>
          <w:highlight w:val="none"/>
        </w:rPr>
        <w:t xml:space="preserve">万元</w:t>
      </w:r>
      <w:r/>
    </w:p>
    <w:p>
      <w:pPr>
        <w:numPr>
          <w:ilvl w:val="0"/>
          <w:numId w:val="8"/>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bookmarkStart w:id="11" w:name="OLE_LINK3"/>
      <w:r>
        <w:rPr>
          <w:rFonts w:hint="eastAsia"/>
          <w:color w:val="auto"/>
          <w:sz w:val="24"/>
          <w:highlight w:val="none"/>
        </w:rPr>
        <w:t xml:space="preserve">本项目为</w:t>
      </w:r>
      <w:r>
        <w:rPr>
          <w:rFonts w:hint="eastAsia"/>
          <w:color w:val="auto"/>
          <w:sz w:val="24"/>
          <w:highlight w:val="none"/>
          <w:lang w:eastAsia="zh-CN"/>
        </w:rPr>
        <w:t xml:space="preserve">江苏常州天宁经济开发区管理委员会龙锦路南侧、大明北路东侧（QQ030201-01）地块固废混合物合规处置项目</w:t>
      </w:r>
      <w:r>
        <w:rPr>
          <w:rFonts w:hint="eastAsia"/>
          <w:color w:val="auto"/>
          <w:sz w:val="24"/>
          <w:highlight w:val="none"/>
        </w:rPr>
        <w:t xml:space="preserve">。具体要求详见</w:t>
      </w:r>
      <w:bookmarkEnd w:id="11"/>
      <w:r>
        <w:rPr>
          <w:rFonts w:hint="eastAsia"/>
          <w:color w:val="auto"/>
          <w:sz w:val="24"/>
          <w:highlight w:val="none"/>
          <w:lang w:val="en-US" w:eastAsia="zh-CN"/>
        </w:rPr>
        <w:t xml:space="preserve">第五章采购需求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6.合同履行期限：</w:t>
      </w:r>
      <w:r>
        <w:rPr>
          <w:rFonts w:hint="eastAsia" w:ascii="Calibri" w:hAnsi="Calibri" w:cs="Times New Roman"/>
          <w:color w:val="auto"/>
          <w:sz w:val="24"/>
          <w:szCs w:val="22"/>
          <w:highlight w:val="none"/>
          <w:lang w:val="en-US" w:eastAsia="zh-CN"/>
        </w:rPr>
        <w:t xml:space="preserve">80日历天，起算时间以采购人通知时间为准。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7.本项目是否接受联合体投标：□是  ■否。</w:t>
      </w:r>
      <w:r/>
    </w:p>
    <w:p>
      <w:pPr>
        <w:pStyle w:val="1111"/>
        <w:jc w:val="left"/>
        <w:spacing w:before="0" w:line="360" w:lineRule="auto"/>
        <w:rPr>
          <w:rFonts w:hint="eastAsia" w:ascii="宋体" w:hAnsi="宋体" w:eastAsia="宋体" w:cs="宋体"/>
          <w:color w:val="auto"/>
          <w:sz w:val="24"/>
          <w:szCs w:val="24"/>
          <w:highlight w:val="none"/>
        </w:rPr>
      </w:pPr>
      <w:r/>
      <w:bookmarkStart w:id="12" w:name="_Toc35393791"/>
      <w:r/>
      <w:bookmarkStart w:id="13" w:name="_Toc28359080"/>
      <w:r/>
      <w:bookmarkStart w:id="14" w:name="_Toc28359003"/>
      <w:r/>
      <w:bookmarkStart w:id="15" w:name="_Toc35393622"/>
      <w:r>
        <w:rPr>
          <w:rFonts w:hint="eastAsia" w:ascii="宋体" w:hAnsi="宋体" w:eastAsia="宋体" w:cs="宋体"/>
          <w:color w:val="auto"/>
          <w:sz w:val="24"/>
          <w:szCs w:val="24"/>
          <w:highlight w:val="none"/>
        </w:rPr>
        <w:t xml:space="preserve">二、申请人的资格要求（须同时满足）</w:t>
      </w:r>
      <w:bookmarkEnd w:id="12"/>
      <w:r/>
      <w:bookmarkEnd w:id="13"/>
      <w:r/>
      <w:bookmarkEnd w:id="14"/>
      <w:r/>
      <w:bookmarkEnd w:id="1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t>
      </w:r>
      <w:r>
        <w:rPr>
          <w:rFonts w:hint="eastAsia" w:ascii="宋体" w:hAnsi="宋体" w:eastAsia="宋体" w:cs="宋体"/>
          <w:color w:val="auto"/>
          <w:sz w:val="24"/>
          <w:highlight w:val="none"/>
          <w:lang w:val="en-US" w:eastAsia="zh-CN"/>
        </w:rPr>
        <w:t xml:space="preserve">www</w:t>
      </w:r>
      <w:r>
        <w:rPr>
          <w:rFonts w:hint="eastAsia" w:ascii="宋体" w:hAnsi="宋体" w:eastAsia="宋体" w:cs="宋体"/>
          <w:color w:val="auto"/>
          <w:sz w:val="24"/>
          <w:highlight w:val="none"/>
        </w:rPr>
        <w:t xml:space="preserve">.creditchina.gov.cn）或“中国政府采购网”网站（www.ccgp.gov.cn）列入失信被执行人、重大税收违法案件当事人名单、政府采购严重失信行为记录名单；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bookmarkStart w:id="16" w:name="_Toc28359081"/>
      <w:r/>
      <w:bookmarkStart w:id="17" w:name="_Toc28359004"/>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2.1中小企业政策（说明：中小企业包含中型、小型、微型企业，小微企业包含小型、微型企业）</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□本项目不专门面向中小企业预留采购份额。</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■本项目专门面向 ■中小 □小微企业采购。即：提供的货物全部由符合政策要求的中小/小微企业制造、服务全部由符合政策要求的中小/小微企业承接。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其它落实政府采购政策的资格要求：无。</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3.2本项目是否属于政府购买服务：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2"/>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3.3其他特定资格要求：</w:t>
      </w:r>
      <w:r>
        <w:rPr>
          <w:rFonts w:hint="eastAsia" w:ascii="宋体" w:hAnsi="宋体" w:cs="宋体"/>
          <w:b/>
          <w:bCs/>
          <w:color w:val="auto"/>
          <w:sz w:val="24"/>
          <w:highlight w:val="none"/>
          <w:lang w:val="en-US" w:eastAsia="zh-CN"/>
        </w:rPr>
        <w:t xml:space="preserve">无</w:t>
      </w:r>
      <w:bookmarkEnd w:id="16"/>
      <w:bookmarkEnd w:id="17"/>
      <w:r/>
    </w:p>
    <w:p>
      <w:pPr>
        <w:pStyle w:val="1111"/>
        <w:jc w:val="left"/>
        <w:spacing w:before="0" w:line="360" w:lineRule="auto"/>
        <w:widowControl/>
        <w:rPr>
          <w:rFonts w:hint="eastAsia" w:ascii="宋体" w:hAnsi="宋体" w:eastAsia="宋体" w:cs="宋体"/>
          <w:color w:val="auto"/>
          <w:sz w:val="24"/>
          <w:szCs w:val="24"/>
          <w:highlight w:val="none"/>
        </w:rPr>
      </w:pPr>
      <w:r/>
      <w:bookmarkStart w:id="18" w:name="_Toc35393792"/>
      <w:r/>
      <w:bookmarkStart w:id="19" w:name="_Toc35393623"/>
      <w:r>
        <w:rPr>
          <w:rFonts w:hint="eastAsia" w:ascii="宋体" w:hAnsi="宋体" w:eastAsia="宋体" w:cs="宋体"/>
          <w:color w:val="auto"/>
          <w:sz w:val="24"/>
          <w:szCs w:val="24"/>
          <w:highlight w:val="none"/>
        </w:rPr>
        <w:t xml:space="preserve">三、获取招标文件</w:t>
      </w:r>
      <w:bookmarkEnd w:id="18"/>
      <w:r/>
      <w:bookmarkEnd w:id="19"/>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w:t>
      </w:r>
      <w:r>
        <w:rPr>
          <w:rFonts w:hint="eastAsia" w:ascii="宋体"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文件公告发布之日起5个工作日</w:t>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2.地点：“苏采云”政府采购一体化平台。</w:t>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3.方式：供应商持CA数字认证证书登录政府采购一体化平台“苏采云”（http://jszfcg.jscz.gov.cn/jszc/login）获取电子版</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w:t>
      </w:r>
      <w:r/>
    </w:p>
    <w:p>
      <w:pPr>
        <w:ind w:firstLine="48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1111"/>
        <w:jc w:val="left"/>
        <w:spacing w:before="0" w:line="360" w:lineRule="auto"/>
        <w:widowControl/>
        <w:rPr>
          <w:rFonts w:hint="eastAsia" w:ascii="宋体" w:hAnsi="宋体" w:eastAsia="宋体" w:cs="宋体"/>
          <w:color w:val="auto"/>
          <w:sz w:val="24"/>
          <w:szCs w:val="24"/>
          <w:highlight w:val="none"/>
        </w:rPr>
      </w:pPr>
      <w:r/>
      <w:bookmarkStart w:id="20" w:name="_Toc28359082"/>
      <w:r/>
      <w:bookmarkStart w:id="21" w:name="_Toc28359005"/>
      <w:r/>
      <w:bookmarkStart w:id="22" w:name="_Toc35393793"/>
      <w:r/>
      <w:bookmarkStart w:id="23" w:name="_Toc35393624"/>
      <w:r>
        <w:rPr>
          <w:rFonts w:hint="eastAsia" w:ascii="宋体" w:hAnsi="宋体" w:eastAsia="宋体" w:cs="宋体"/>
          <w:color w:val="auto"/>
          <w:sz w:val="24"/>
          <w:szCs w:val="24"/>
          <w:highlight w:val="none"/>
        </w:rPr>
        <w:t xml:space="preserve">四、提交投标文件</w:t>
      </w:r>
      <w:bookmarkEnd w:id="20"/>
      <w:r/>
      <w:bookmarkEnd w:id="21"/>
      <w:r>
        <w:rPr>
          <w:rFonts w:hint="eastAsia" w:ascii="宋体" w:hAnsi="宋体" w:eastAsia="宋体" w:cs="宋体"/>
          <w:color w:val="auto"/>
          <w:sz w:val="24"/>
          <w:szCs w:val="24"/>
          <w:highlight w:val="none"/>
        </w:rPr>
        <w:t xml:space="preserve">截止时间、开标时间和地点</w:t>
      </w:r>
      <w:bookmarkEnd w:id="22"/>
      <w:r/>
      <w:bookmarkEnd w:id="23"/>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投标截止时间、开标时间：202</w:t>
      </w:r>
      <w:r>
        <w:rPr>
          <w:rFonts w:hint="eastAsia" w:ascii="宋体" w:hAnsi="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8</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上</w:t>
      </w:r>
      <w:r>
        <w:rPr>
          <w:rFonts w:hint="eastAsia" w:ascii="宋体" w:hAnsi="宋体" w:eastAsia="宋体" w:cs="宋体"/>
          <w:color w:val="auto"/>
          <w:sz w:val="24"/>
          <w:highlight w:val="none"/>
          <w:lang w:val="en-US" w:eastAsia="zh-CN" w:bidi="ar"/>
        </w:rPr>
        <w:t xml:space="preserve">午</w:t>
      </w:r>
      <w:r>
        <w:rPr>
          <w:rFonts w:hint="eastAsia" w:ascii="宋体" w:hAnsi="宋体" w:cs="宋体"/>
          <w:color w:val="auto"/>
          <w:sz w:val="24"/>
          <w:highlight w:val="none"/>
          <w:lang w:val="en-US" w:eastAsia="zh-CN" w:bidi="ar"/>
        </w:rPr>
        <w:t xml:space="preserve">9</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0</w:t>
      </w:r>
      <w:r>
        <w:rPr>
          <w:rFonts w:hint="eastAsia" w:ascii="宋体" w:hAnsi="宋体" w:eastAsia="宋体" w:cs="宋体"/>
          <w:color w:val="auto"/>
          <w:sz w:val="24"/>
          <w:highlight w:val="none"/>
          <w:lang w:bidi="ar"/>
        </w:rPr>
        <w:t xml:space="preserve">0分（北京时间）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地点：本项目采用不见面交易方式，无需到现场提交，供应商登录”苏采云”系统供应商端，通过系统在线提交电子响应文件</w:t>
      </w:r>
      <w:r>
        <w:rPr>
          <w:rFonts w:hint="eastAsia" w:ascii="宋体" w:hAnsi="宋体" w:eastAsia="宋体" w:cs="宋体"/>
          <w:color w:val="auto"/>
          <w:sz w:val="24"/>
          <w:highlight w:val="none"/>
          <w:lang w:val="zh-TW" w:bidi="ar"/>
        </w:rPr>
        <w:t xml:space="preserve">。</w:t>
      </w:r>
      <w:r/>
    </w:p>
    <w:p>
      <w:pPr>
        <w:pStyle w:val="1111"/>
        <w:jc w:val="left"/>
        <w:spacing w:before="0" w:line="360" w:lineRule="auto"/>
        <w:rPr>
          <w:rFonts w:hint="eastAsia" w:ascii="宋体" w:hAnsi="宋体" w:eastAsia="宋体" w:cs="宋体"/>
          <w:color w:val="auto"/>
          <w:sz w:val="24"/>
          <w:szCs w:val="24"/>
          <w:highlight w:val="none"/>
        </w:rPr>
      </w:pPr>
      <w:r/>
      <w:bookmarkStart w:id="24" w:name="_Toc28359007"/>
      <w:r/>
      <w:bookmarkStart w:id="25" w:name="_Toc35393625"/>
      <w:r/>
      <w:bookmarkStart w:id="26" w:name="_Toc35393794"/>
      <w:r/>
      <w:bookmarkStart w:id="27" w:name="_Toc28359084"/>
      <w:r>
        <w:rPr>
          <w:rFonts w:hint="eastAsia" w:ascii="宋体" w:hAnsi="宋体" w:eastAsia="宋体" w:cs="宋体"/>
          <w:color w:val="auto"/>
          <w:sz w:val="24"/>
          <w:szCs w:val="24"/>
          <w:highlight w:val="none"/>
        </w:rPr>
        <w:t xml:space="preserve">五、公告期限</w:t>
      </w:r>
      <w:bookmarkEnd w:id="24"/>
      <w:r/>
      <w:bookmarkEnd w:id="25"/>
      <w:r/>
      <w:bookmarkEnd w:id="26"/>
      <w:r/>
      <w:bookmarkEnd w:id="2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1111"/>
        <w:jc w:val="left"/>
        <w:spacing w:before="0" w:line="360" w:lineRule="auto"/>
        <w:rPr>
          <w:rFonts w:hint="eastAsia" w:ascii="宋体" w:hAnsi="宋体" w:eastAsia="宋体" w:cs="宋体"/>
          <w:color w:val="auto"/>
          <w:sz w:val="24"/>
          <w:szCs w:val="24"/>
          <w:highlight w:val="none"/>
        </w:rPr>
      </w:pPr>
      <w:r/>
      <w:bookmarkStart w:id="28" w:name="_Toc35393626"/>
      <w:r/>
      <w:bookmarkStart w:id="29" w:name="_Toc35393795"/>
      <w:r>
        <w:rPr>
          <w:rFonts w:hint="eastAsia" w:ascii="宋体" w:hAnsi="宋体" w:eastAsia="宋体" w:cs="宋体"/>
          <w:color w:val="auto"/>
          <w:sz w:val="24"/>
          <w:szCs w:val="24"/>
          <w:highlight w:val="none"/>
        </w:rPr>
        <w:t xml:space="preserve">六、其他补充事宜</w:t>
      </w:r>
      <w:bookmarkEnd w:id="28"/>
      <w:r/>
      <w:bookmarkEnd w:id="29"/>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bookmarkStart w:id="30" w:name="_Toc28359008"/>
      <w:r/>
      <w:bookmarkStart w:id="31" w:name="_Toc140670456"/>
      <w:r/>
      <w:bookmarkStart w:id="32" w:name="_Toc28359085"/>
      <w:r/>
      <w:bookmarkStart w:id="33" w:name="_Toc35393796"/>
      <w:r/>
      <w:bookmarkStart w:id="34" w:name="_Toc140670320"/>
      <w:r/>
      <w:bookmarkStart w:id="35" w:name="_Toc35393627"/>
      <w:r/>
      <w:bookmarkStart w:id="36" w:name="_Toc128435092"/>
      <w:r>
        <w:rPr>
          <w:rFonts w:hint="eastAsia" w:ascii="宋体" w:hAnsi="宋体" w:eastAsia="宋体" w:cs="宋体"/>
          <w:color w:val="auto"/>
          <w:sz w:val="24"/>
          <w:highlight w:val="none"/>
        </w:rPr>
        <w:t xml:space="preserve">1.本项目需要落实的政府采购政策：无</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技术支持服务热线    0519-8558 8210</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CA认证证书办理（现场办理）联系电话   0519-8558 8120</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2.1办理CA认证证书</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供应商登录政府采购一体化平台“苏采云”“新CA办理指南”，按照程序要求办理。</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2.2注册</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供应商登录政府采购一体化平台“苏采云” 下载“ 用户注册”查阅后进行自助注册。</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2.3控件、客户端下载</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供应商登录政府采购一体化平台“苏采云” 下载“驱动下载”，安装驱动。</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2.4 获取电子</w:t>
      </w:r>
      <w:r>
        <w:rPr>
          <w:rFonts w:hint="eastAsia"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供应商持CA数字认证证书登录政府采购一体化平台“苏采云”获取电子</w:t>
      </w:r>
      <w:r>
        <w:rPr>
          <w:rFonts w:hint="eastAsia"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文件。未在规定期限内通过政府采购一体化平台“苏采云”获取</w:t>
      </w:r>
      <w:r>
        <w:rPr>
          <w:rFonts w:hint="eastAsia" w:hAnsi="宋体" w:cs="宋体"/>
          <w:color w:val="auto"/>
          <w:sz w:val="24"/>
          <w:highlight w:val="none"/>
          <w:lang w:eastAsia="zh-CN"/>
        </w:rPr>
        <w:t xml:space="preserve">招标</w:t>
      </w:r>
      <w:r>
        <w:rPr>
          <w:rFonts w:hint="eastAsia" w:ascii="宋体" w:hAnsi="宋体" w:eastAsia="宋体" w:cs="宋体"/>
          <w:color w:val="auto"/>
          <w:sz w:val="24"/>
          <w:highlight w:val="none"/>
        </w:rPr>
        <w:t xml:space="preserve">文件的响应无效。</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2.5编制电子响应文件</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2.6提交电子响应文件</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供应商应于响应截止时间前在政府采购一体化平台“苏采云”提交电子响应文件，上传电子响应文件过程中请保持与互联网的连接畅通。</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2.7电子开标</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供应商使用CA认证证书登录政府采购一体化平台“苏采云”进行电子化不见面开标。</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2.8注意事项</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3.关于常州市中小企业政府采购信用融资：</w:t>
      </w:r>
      <w:r/>
    </w:p>
    <w:p>
      <w:pPr>
        <w:pStyle w:val="1149"/>
        <w:ind w:firstLine="480"/>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通知书或成交合同，为成交中小企业供应商提供相应额度贷款的融资模式。申请条件及操作流程等事项详见该文件相关内容或者常州市政府采购网--政采融资平台栏目。</w:t>
      </w:r>
      <w:r/>
    </w:p>
    <w:p>
      <w:pPr>
        <w:pStyle w:val="1149"/>
        <w:ind w:firstLine="482"/>
        <w:keepLines w:val="0"/>
        <w:keepNext w:val="0"/>
        <w:pageBreakBefore w:val="0"/>
        <w:spacing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七、对本项目提出询问，请按以下方式联系。</w:t>
      </w:r>
      <w:bookmarkEnd w:id="30"/>
      <w:r/>
      <w:bookmarkEnd w:id="31"/>
      <w:r/>
      <w:bookmarkEnd w:id="32"/>
      <w:r/>
      <w:bookmarkEnd w:id="33"/>
      <w:r/>
      <w:bookmarkEnd w:id="34"/>
      <w:r/>
      <w:bookmarkEnd w:id="35"/>
      <w:r/>
      <w:bookmarkEnd w:id="36"/>
      <w:r/>
      <w:r/>
    </w:p>
    <w:p>
      <w:pPr>
        <w:pStyle w:val="1149"/>
        <w:spacing w:line="360" w:lineRule="auto"/>
        <w:rPr>
          <w:rFonts w:hint="eastAsia" w:ascii="宋体" w:hAnsi="宋体" w:eastAsia="宋体" w:cs="宋体"/>
          <w:bCs/>
          <w:color w:val="auto"/>
          <w:highlight w:val="none"/>
        </w:rPr>
      </w:pPr>
      <w:r/>
      <w:bookmarkStart w:id="37" w:name="_Hlk118382401"/>
      <w:r/>
      <w:bookmarkStart w:id="38" w:name="_Toc63761584"/>
      <w:r/>
      <w:bookmarkStart w:id="39" w:name="_Toc28359020"/>
      <w:r/>
      <w:bookmarkStart w:id="40" w:name="_Toc35393638"/>
      <w:r/>
      <w:bookmarkStart w:id="41" w:name="_Toc63761645"/>
      <w:r/>
      <w:bookmarkStart w:id="42" w:name="_Toc35393807"/>
      <w:r/>
      <w:bookmarkStart w:id="43" w:name="_Toc28359097"/>
      <w:r/>
      <w:bookmarkStart w:id="44" w:name="_Toc45235309"/>
      <w:r/>
      <w:bookmarkStart w:id="45" w:name="_Toc45235155"/>
      <w:r>
        <w:rPr>
          <w:rFonts w:hint="eastAsia" w:ascii="宋体" w:hAnsi="宋体" w:eastAsia="宋体" w:cs="宋体"/>
          <w:bCs/>
          <w:color w:val="auto"/>
          <w:highlight w:val="none"/>
        </w:rPr>
        <w:t xml:space="preserve">1.采购人信息</w:t>
      </w:r>
      <w:bookmarkEnd w:id="37"/>
      <w:r/>
    </w:p>
    <w:p>
      <w:pPr>
        <w:pStyle w:val="1149"/>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名    称：</w:t>
      </w:r>
      <w:r>
        <w:rPr>
          <w:rFonts w:hint="eastAsia" w:hAnsi="宋体" w:cs="宋体"/>
          <w:bCs/>
          <w:color w:val="auto"/>
          <w:highlight w:val="none"/>
          <w:lang w:eastAsia="zh-CN"/>
        </w:rPr>
        <w:t xml:space="preserve">江苏常州天宁经济开发区管理委员会</w:t>
      </w:r>
      <w:r/>
    </w:p>
    <w:p>
      <w:pPr>
        <w:pStyle w:val="1149"/>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地    址：</w:t>
      </w:r>
      <w:r>
        <w:rPr>
          <w:rFonts w:hint="eastAsia" w:ascii="Times New Roman" w:hAnsi="Times New Roman" w:eastAsia="宋体" w:cs="Times New Roman"/>
          <w:color w:val="auto"/>
          <w:sz w:val="24"/>
          <w:szCs w:val="22"/>
          <w:highlight w:val="none"/>
          <w:lang w:val="en-US" w:eastAsia="zh-CN" w:bidi="ar"/>
        </w:rPr>
        <w:t xml:space="preserve">江苏省常州市天宁区河海东路9号</w:t>
      </w:r>
      <w:r/>
    </w:p>
    <w:p>
      <w:pPr>
        <w:pStyle w:val="1149"/>
        <w:spacing w:line="360" w:lineRule="auto"/>
        <w:rPr>
          <w:rFonts w:hint="eastAsia" w:ascii="宋体" w:hAnsi="宋体" w:cs="宋体"/>
          <w:color w:val="auto"/>
          <w:sz w:val="24"/>
          <w:highlight w:val="none"/>
          <w:u w:val="none"/>
          <w:lang w:val="en-US" w:eastAsia="zh-CN" w:bidi="ar"/>
        </w:rPr>
      </w:pPr>
      <w:r>
        <w:rPr>
          <w:rFonts w:hint="eastAsia" w:ascii="宋体" w:hAnsi="宋体" w:eastAsia="宋体" w:cs="宋体"/>
          <w:bCs/>
          <w:color w:val="auto"/>
          <w:highlight w:val="none"/>
        </w:rPr>
        <w:t xml:space="preserve">联 系 人：</w:t>
      </w:r>
      <w:r>
        <w:rPr>
          <w:rFonts w:hint="eastAsia" w:cs="Times New Roman"/>
          <w:color w:val="auto"/>
          <w:sz w:val="24"/>
          <w:highlight w:val="none"/>
          <w:u w:val="none"/>
          <w:lang w:val="en-US" w:eastAsia="zh-CN"/>
        </w:rPr>
        <w:t xml:space="preserve">刘先生</w:t>
      </w:r>
      <w:r>
        <w:rPr>
          <w:rFonts w:hint="eastAsia" w:ascii="宋体" w:hAnsi="宋体" w:cs="宋体"/>
          <w:color w:val="auto"/>
          <w:sz w:val="24"/>
          <w:highlight w:val="none"/>
          <w:u w:val="none"/>
          <w:lang w:val="en-US" w:eastAsia="zh-CN" w:bidi="ar"/>
        </w:rPr>
        <w:t xml:space="preserve"> </w:t>
      </w:r>
      <w:r/>
    </w:p>
    <w:p>
      <w:pPr>
        <w:pStyle w:val="1149"/>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联系方式：</w:t>
      </w:r>
      <w:r>
        <w:rPr>
          <w:rFonts w:hint="eastAsia" w:ascii="宋体" w:hAnsi="宋体" w:cs="宋体"/>
          <w:color w:val="auto"/>
          <w:sz w:val="24"/>
          <w:highlight w:val="none"/>
          <w:u w:val="none"/>
          <w:lang w:val="en-US" w:eastAsia="zh-CN" w:bidi="ar"/>
        </w:rPr>
        <w:t xml:space="preserve">0519-85500890</w:t>
      </w:r>
      <w:r/>
    </w:p>
    <w:p>
      <w:pPr>
        <w:pStyle w:val="1149"/>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2.采购代理机构信息</w:t>
      </w:r>
      <w:bookmarkEnd w:id="38"/>
      <w:r/>
      <w:bookmarkEnd w:id="39"/>
      <w:r/>
      <w:bookmarkEnd w:id="40"/>
      <w:r/>
      <w:bookmarkEnd w:id="41"/>
      <w:r/>
      <w:bookmarkEnd w:id="42"/>
      <w:r/>
      <w:bookmarkEnd w:id="43"/>
      <w:r/>
      <w:bookmarkEnd w:id="44"/>
      <w:r/>
      <w:bookmarkEnd w:id="45"/>
      <w:r/>
      <w:r/>
    </w:p>
    <w:p>
      <w:pPr>
        <w:pStyle w:val="1149"/>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名   称：</w:t>
      </w:r>
      <w:r>
        <w:rPr>
          <w:rFonts w:hint="eastAsia" w:hAnsi="宋体" w:cs="宋体"/>
          <w:bCs/>
          <w:color w:val="auto"/>
          <w:highlight w:val="none"/>
          <w:lang w:eastAsia="zh-CN"/>
        </w:rPr>
        <w:t xml:space="preserve">江苏正誉项目管理有限公司</w:t>
      </w:r>
      <w:r/>
    </w:p>
    <w:p>
      <w:pPr>
        <w:pStyle w:val="1149"/>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地　 址：</w:t>
      </w:r>
      <w:r>
        <w:rPr>
          <w:rFonts w:hint="eastAsia" w:hAnsi="宋体" w:cs="宋体"/>
          <w:bCs/>
          <w:color w:val="auto"/>
          <w:highlight w:val="none"/>
          <w:lang w:eastAsia="zh-CN"/>
        </w:rPr>
        <w:t xml:space="preserve">常州市新北区顺园路15号4楼</w:t>
      </w:r>
      <w:r/>
    </w:p>
    <w:p>
      <w:pPr>
        <w:pStyle w:val="1149"/>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联系方式：</w:t>
      </w:r>
      <w:r>
        <w:rPr>
          <w:rFonts w:hint="eastAsia" w:hAnsi="宋体" w:cs="宋体"/>
          <w:bCs/>
          <w:color w:val="auto"/>
          <w:highlight w:val="none"/>
          <w:lang w:eastAsia="zh-CN"/>
        </w:rPr>
        <w:t xml:space="preserve">15861135830</w:t>
      </w:r>
      <w:r/>
    </w:p>
    <w:p>
      <w:pPr>
        <w:pStyle w:val="1149"/>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邮   箱：</w:t>
      </w:r>
      <w:r>
        <w:rPr>
          <w:rFonts w:hint="eastAsia" w:hAnsi="宋体" w:cs="宋体"/>
          <w:bCs/>
          <w:color w:val="auto"/>
          <w:highlight w:val="none"/>
          <w:lang w:eastAsia="zh-CN"/>
        </w:rPr>
        <w:t xml:space="preserve">252541026@qq.com</w:t>
      </w:r>
      <w:r>
        <w:rPr>
          <w:rFonts w:hint="eastAsia" w:ascii="宋体" w:hAnsi="宋体" w:eastAsia="宋体" w:cs="宋体"/>
          <w:bCs/>
          <w:color w:val="auto"/>
          <w:highlight w:val="none"/>
        </w:rPr>
        <w:t xml:space="preserve">  　</w:t>
      </w:r>
      <w:r/>
    </w:p>
    <w:p>
      <w:pPr>
        <w:pStyle w:val="1149"/>
        <w:spacing w:line="360" w:lineRule="auto"/>
        <w:rPr>
          <w:rFonts w:hint="eastAsia" w:ascii="宋体" w:hAnsi="宋体" w:eastAsia="宋体" w:cs="宋体"/>
          <w:bCs/>
          <w:color w:val="auto"/>
          <w:highlight w:val="none"/>
        </w:rPr>
      </w:pPr>
      <w:r/>
      <w:bookmarkStart w:id="46" w:name="_Toc28359098"/>
      <w:r/>
      <w:bookmarkStart w:id="47" w:name="_Toc63761585"/>
      <w:r/>
      <w:bookmarkStart w:id="48" w:name="_Toc35393639"/>
      <w:r/>
      <w:bookmarkStart w:id="49" w:name="_Toc35393808"/>
      <w:r/>
      <w:bookmarkStart w:id="50" w:name="_Toc63761646"/>
      <w:r/>
      <w:bookmarkStart w:id="51" w:name="_Toc45235156"/>
      <w:r/>
      <w:bookmarkStart w:id="52" w:name="_Toc45235310"/>
      <w:r/>
      <w:bookmarkStart w:id="53" w:name="_Toc28359021"/>
      <w:r>
        <w:rPr>
          <w:rFonts w:hint="eastAsia" w:ascii="宋体" w:hAnsi="宋体" w:eastAsia="宋体" w:cs="宋体"/>
          <w:bCs/>
          <w:color w:val="auto"/>
          <w:highlight w:val="none"/>
        </w:rPr>
        <w:t xml:space="preserve">3.项目联系方式</w:t>
      </w:r>
      <w:bookmarkEnd w:id="46"/>
      <w:r/>
      <w:bookmarkEnd w:id="47"/>
      <w:r/>
      <w:bookmarkEnd w:id="48"/>
      <w:r/>
      <w:bookmarkEnd w:id="49"/>
      <w:r/>
      <w:bookmarkEnd w:id="50"/>
      <w:r/>
      <w:bookmarkEnd w:id="51"/>
      <w:r/>
      <w:bookmarkEnd w:id="52"/>
      <w:r/>
      <w:bookmarkEnd w:id="53"/>
      <w:r/>
      <w:r/>
    </w:p>
    <w:p>
      <w:pPr>
        <w:pStyle w:val="1149"/>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项目联系人：</w:t>
      </w:r>
      <w:r>
        <w:rPr>
          <w:rFonts w:hint="eastAsia" w:hAnsi="宋体" w:cs="宋体"/>
          <w:bCs/>
          <w:color w:val="auto"/>
          <w:highlight w:val="none"/>
          <w:lang w:eastAsia="zh-CN"/>
        </w:rPr>
        <w:t xml:space="preserve">赵工</w:t>
      </w:r>
      <w:r/>
    </w:p>
    <w:p>
      <w:pPr>
        <w:pStyle w:val="1149"/>
        <w:spacing w:line="360" w:lineRule="auto"/>
        <w:rPr>
          <w:rFonts w:hint="eastAsia" w:hAnsi="宋体" w:cs="宋体"/>
          <w:bCs/>
          <w:color w:val="auto"/>
          <w:highlight w:val="none"/>
          <w:lang w:eastAsia="zh-CN"/>
        </w:rPr>
      </w:pPr>
      <w:r>
        <w:rPr>
          <w:rFonts w:hint="eastAsia" w:ascii="宋体" w:hAnsi="宋体" w:eastAsia="宋体" w:cs="宋体"/>
          <w:bCs/>
          <w:color w:val="auto"/>
          <w:highlight w:val="none"/>
        </w:rPr>
        <w:t xml:space="preserve">电　 话：</w:t>
      </w:r>
      <w:r>
        <w:rPr>
          <w:rFonts w:hint="eastAsia" w:hAnsi="宋体" w:cs="宋体"/>
          <w:bCs/>
          <w:color w:val="auto"/>
          <w:highlight w:val="none"/>
          <w:lang w:eastAsia="zh-CN"/>
        </w:rPr>
        <w:t xml:space="preserve">15861135830</w:t>
      </w:r>
      <w:r/>
    </w:p>
    <w:p>
      <w:pPr>
        <w:pStyle w:val="1149"/>
        <w:spacing w:line="360" w:lineRule="auto"/>
        <w:rPr>
          <w:rFonts w:hint="eastAsia" w:hAnsi="宋体" w:cs="宋体"/>
          <w:bCs/>
          <w:color w:val="auto"/>
          <w:highlight w:val="none"/>
          <w:lang w:eastAsia="zh-CN"/>
        </w:rPr>
      </w:pPr>
      <w:r>
        <w:rPr>
          <w:rFonts w:hint="eastAsia" w:hAnsi="宋体" w:cs="宋体"/>
          <w:bCs/>
          <w:color w:val="auto"/>
          <w:highlight w:val="none"/>
          <w:lang w:eastAsia="zh-CN"/>
        </w:rPr>
        <w:t xml:space="preserve">注:上述个人信息由于工作需要经机构或本人同意对外公布。</w:t>
      </w:r>
      <w:r/>
    </w:p>
    <w:p>
      <w:pPr>
        <w:ind w:firstLine="58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color w:val="auto"/>
          <w:sz w:val="24"/>
          <w:highlight w:val="none"/>
        </w:rPr>
        <w:br w:type="page" w:clear="all"/>
      </w:r>
      <w:bookmarkStart w:id="54" w:name="_Toc99301420"/>
      <w:r/>
      <w:bookmarkStart w:id="55" w:name="_Toc353873938"/>
      <w:r/>
      <w:bookmarkStart w:id="56" w:name="_Toc512937850"/>
      <w:r/>
      <w:bookmarkStart w:id="57" w:name="_Toc127161488"/>
      <w:r/>
      <w:bookmarkStart w:id="58" w:name="_Toc195842950"/>
      <w:r/>
      <w:bookmarkStart w:id="59" w:name="_Toc226965856"/>
      <w:r/>
      <w:bookmarkStart w:id="60" w:name="_Toc150774783"/>
      <w:r/>
      <w:bookmarkStart w:id="61" w:name="_Toc353825548"/>
      <w:r/>
      <w:bookmarkStart w:id="62" w:name="_Toc265228423"/>
      <w:r/>
      <w:bookmarkStart w:id="63" w:name="_Toc305158928"/>
      <w:r/>
      <w:bookmarkStart w:id="64" w:name="_Toc305158854"/>
      <w:r/>
      <w:bookmarkStart w:id="65" w:name="_Toc127151777"/>
      <w:r/>
      <w:bookmarkStart w:id="66" w:name="_Toc264969275"/>
      <w:r>
        <w:rPr>
          <w:rFonts w:hint="eastAsia" w:ascii="宋体" w:hAnsi="宋体" w:eastAsia="宋体" w:cs="宋体"/>
          <w:b/>
          <w:color w:val="auto"/>
          <w:sz w:val="36"/>
          <w:szCs w:val="36"/>
          <w:highlight w:val="none"/>
        </w:rPr>
        <w:t xml:space="preserve">第二章   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pStyle w:val="1111"/>
        <w:spacing w:before="0" w:line="240" w:lineRule="auto"/>
        <w:tabs>
          <w:tab w:val="center" w:pos="4592" w:leader="none"/>
          <w:tab w:val="left" w:pos="7860" w:leader="none"/>
        </w:tabs>
        <w:rPr>
          <w:rFonts w:hint="eastAsia" w:ascii="宋体" w:hAnsi="宋体" w:eastAsia="宋体" w:cs="宋体"/>
          <w:color w:val="auto"/>
          <w:sz w:val="28"/>
          <w:highlight w:val="none"/>
        </w:rPr>
      </w:pPr>
      <w:r/>
      <w:bookmarkStart w:id="67" w:name="_Toc226965709"/>
      <w:r/>
      <w:bookmarkStart w:id="68" w:name="_Toc226965792"/>
      <w:r/>
      <w:bookmarkStart w:id="69" w:name="_Toc520356144"/>
      <w:r/>
      <w:bookmarkStart w:id="70" w:name="_Toc150774619"/>
      <w:r/>
      <w:bookmarkStart w:id="71" w:name="_Toc164229214"/>
      <w:r/>
      <w:bookmarkStart w:id="72" w:name="_Toc151193907"/>
      <w:r/>
      <w:bookmarkStart w:id="73" w:name="_Toc164351613"/>
      <w:r/>
      <w:bookmarkStart w:id="74" w:name="_Toc151193617"/>
      <w:r/>
      <w:bookmarkStart w:id="75" w:name="_Toc127161433"/>
      <w:r/>
      <w:bookmarkStart w:id="76" w:name="_Toc164608788"/>
      <w:r/>
      <w:bookmarkStart w:id="77" w:name="_Toc151190146"/>
      <w:r/>
      <w:bookmarkStart w:id="78" w:name="_Toc151193761"/>
      <w:r/>
      <w:bookmarkStart w:id="79" w:name="_Toc164608633"/>
      <w:r/>
      <w:bookmarkStart w:id="80" w:name="_Toc151193689"/>
      <w:r/>
      <w:bookmarkStart w:id="81" w:name="_Toc195842884"/>
      <w:r/>
      <w:bookmarkStart w:id="82" w:name="_Toc150509270"/>
      <w:r/>
      <w:bookmarkStart w:id="83" w:name="_Toc127151720"/>
      <w:r/>
      <w:bookmarkStart w:id="84" w:name="_Toc127151519"/>
      <w:r/>
      <w:bookmarkStart w:id="85" w:name="_Toc142311021"/>
      <w:r/>
      <w:bookmarkStart w:id="86" w:name="_Toc164229360"/>
      <w:r/>
      <w:bookmarkStart w:id="87" w:name="_Toc151193833"/>
      <w:r/>
      <w:bookmarkStart w:id="88" w:name="_Toc150774724"/>
      <w:r/>
      <w:bookmarkStart w:id="89" w:name="_Toc226337215"/>
      <w:r/>
      <w:bookmarkStart w:id="90" w:name="_Toc150480757"/>
      <w:r/>
      <w:bookmarkStart w:id="91" w:name="_Toc149720812"/>
      <w:r/>
      <w:bookmarkStart w:id="92" w:name="_Toc226309763"/>
      <w:r>
        <w:rPr>
          <w:rFonts w:hint="eastAsia" w:ascii="宋体" w:hAnsi="宋体" w:eastAsia="宋体" w:cs="宋体"/>
          <w:color w:val="auto"/>
          <w:sz w:val="28"/>
          <w:highlight w:val="none"/>
        </w:rPr>
        <w:t xml:space="preserve">投标人须知资料表</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本表是对投标人须知的具体补充和修改，如有矛盾，均以本资料表为准。</w:t>
      </w:r>
      <w:r/>
    </w:p>
    <w:tbl>
      <w:tblPr>
        <w:tblStyle w:val="937"/>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79"/>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条目</w:t>
            </w:r>
            <w:r/>
          </w:p>
        </w:tc>
        <w:tc>
          <w:tcPr>
            <w:tcW w:w="7179"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内容</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项目属性</w:t>
            </w:r>
            <w:r/>
          </w:p>
        </w:tc>
        <w:tc>
          <w:tcPr>
            <w:tcW w:w="7179" w:type="dxa"/>
            <w:vAlign w:val="center"/>
            <w:textDirection w:val="lrTb"/>
            <w:noWrap w:val="false"/>
          </w:tcPr>
          <w:p>
            <w:pPr>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项目属性：服务</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2</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科研仪器设备</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是否属于科研仪器设备采购项目：否</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Cs w:val="21"/>
                <w:highlight w:val="none"/>
                <w:lang w:eastAsia="zh-CN"/>
              </w:rPr>
            </w:pPr>
            <w:r>
              <w:rPr>
                <w:rFonts w:hint="eastAsia" w:hAnsi="宋体" w:cs="宋体"/>
                <w:color w:val="auto"/>
                <w:szCs w:val="21"/>
                <w:highlight w:val="none"/>
                <w:lang w:val="en-US" w:eastAsia="zh-CN"/>
              </w:rPr>
              <w:t xml:space="preserve">3</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核心产品</w:t>
            </w:r>
            <w:r/>
          </w:p>
        </w:tc>
        <w:tc>
          <w:tcPr>
            <w:tcW w:w="7179" w:type="dxa"/>
            <w:vAlign w:val="center"/>
            <w:textDirection w:val="lrTb"/>
            <w:noWrap w:val="false"/>
          </w:tcPr>
          <w:p>
            <w:pPr>
              <w:pStyle w:val="114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510"/>
        </w:trPr>
        <w:tc>
          <w:tcPr>
            <w:tcW w:w="988" w:type="dxa"/>
            <w:vAlign w:val="center"/>
            <w:vMerge w:val="restart"/>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4</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现场考察</w:t>
            </w:r>
            <w:r/>
          </w:p>
        </w:tc>
        <w:tc>
          <w:tcPr>
            <w:tcW w:w="7179" w:type="dxa"/>
            <w:vAlign w:val="center"/>
            <w:textDirection w:val="lrTb"/>
            <w:noWrap w:val="false"/>
          </w:tcPr>
          <w:p>
            <w:pPr>
              <w:jc w:val="left"/>
              <w:spacing w:line="3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w:t>
            </w:r>
            <w:r>
              <w:rPr>
                <w:rFonts w:ascii="Times New Roman" w:hAnsi="Times New Roman" w:eastAsia="宋体" w:cs="Times New Roman"/>
                <w:color w:val="auto"/>
                <w:sz w:val="24"/>
                <w:szCs w:val="22"/>
                <w:highlight w:val="none"/>
              </w:rPr>
              <w:t xml:space="preserve">不组织</w:t>
            </w:r>
            <w:r/>
          </w:p>
          <w:p>
            <w:pPr>
              <w:jc w:val="left"/>
              <w:rPr>
                <w:rFonts w:hint="eastAsia" w:ascii="宋体" w:hAnsi="宋体" w:eastAsia="宋体" w:cs="宋体"/>
                <w:color w:val="auto"/>
                <w:sz w:val="22"/>
                <w:szCs w:val="22"/>
                <w:highlight w:val="none"/>
              </w:rPr>
            </w:pPr>
            <w:r>
              <w:rPr>
                <w:rFonts w:hint="eastAsia" w:ascii="Times New Roman" w:hAnsi="Times New Roman" w:eastAsia="宋体" w:cs="Times New Roman"/>
                <w:color w:val="auto"/>
                <w:sz w:val="24"/>
                <w:szCs w:val="22"/>
                <w:highlight w:val="none"/>
              </w:rPr>
              <w:t xml:space="preserve">□</w:t>
            </w:r>
            <w:r>
              <w:rPr>
                <w:rFonts w:ascii="Times New Roman" w:hAnsi="Times New Roman" w:eastAsia="宋体" w:cs="Times New Roman"/>
                <w:color w:val="auto"/>
                <w:sz w:val="24"/>
                <w:szCs w:val="22"/>
                <w:highlight w:val="none"/>
              </w:rPr>
              <w:t xml:space="preserve">组织</w:t>
            </w:r>
            <w:r>
              <w:rPr>
                <w:rFonts w:hint="eastAsia" w:ascii="Times New Roman" w:hAnsi="Times New Roman" w:eastAsia="宋体" w:cs="Times New Roman"/>
                <w:color w:val="auto"/>
                <w:sz w:val="24"/>
                <w:szCs w:val="22"/>
                <w:highlight w:val="none"/>
              </w:rPr>
              <w:t xml:space="preserve">（</w:t>
            </w:r>
            <w:r>
              <w:rPr>
                <w:rFonts w:ascii="Times New Roman" w:hAnsi="Times New Roman" w:eastAsia="宋体" w:cs="Times New Roman"/>
                <w:color w:val="auto"/>
                <w:sz w:val="24"/>
                <w:szCs w:val="22"/>
                <w:highlight w:val="none"/>
              </w:rPr>
              <w:t xml:space="preserve">考察时间：__年_月_日_</w:t>
            </w:r>
            <w:r>
              <w:rPr>
                <w:rFonts w:hint="eastAsia" w:ascii="Times New Roman" w:hAnsi="Times New Roman" w:eastAsia="宋体" w:cs="Times New Roman"/>
                <w:color w:val="auto"/>
                <w:sz w:val="24"/>
                <w:szCs w:val="22"/>
                <w:highlight w:val="none"/>
              </w:rPr>
              <w:t xml:space="preserve">时</w:t>
            </w:r>
            <w:r>
              <w:rPr>
                <w:rFonts w:ascii="Times New Roman" w:hAnsi="Times New Roman" w:eastAsia="宋体" w:cs="Times New Roman"/>
                <w:color w:val="auto"/>
                <w:sz w:val="24"/>
                <w:szCs w:val="22"/>
                <w:highlight w:val="none"/>
              </w:rPr>
              <w:t xml:space="preserve">_</w:t>
            </w:r>
            <w:r>
              <w:rPr>
                <w:rFonts w:ascii="Times New Roman" w:hAnsi="Times New Roman" w:eastAsia="宋体" w:cs="Times New Roman"/>
                <w:bCs/>
                <w:color w:val="auto"/>
                <w:sz w:val="24"/>
                <w:szCs w:val="22"/>
                <w:highlight w:val="none"/>
              </w:rPr>
              <w:t xml:space="preserve">分</w:t>
            </w:r>
            <w:r>
              <w:rPr>
                <w:rFonts w:hint="eastAsia" w:ascii="Times New Roman" w:hAnsi="Times New Roman" w:eastAsia="宋体" w:cs="Times New Roman"/>
                <w:bCs/>
                <w:color w:val="auto"/>
                <w:sz w:val="24"/>
                <w:szCs w:val="22"/>
                <w:highlight w:val="none"/>
              </w:rPr>
              <w:t xml:space="preserve">，</w:t>
            </w:r>
            <w:r>
              <w:rPr>
                <w:rFonts w:ascii="Times New Roman" w:hAnsi="Times New Roman" w:eastAsia="宋体" w:cs="Times New Roman"/>
                <w:color w:val="auto"/>
                <w:sz w:val="24"/>
                <w:szCs w:val="22"/>
                <w:highlight w:val="none"/>
              </w:rPr>
              <w:t xml:space="preserve">考察地点：____________。</w:t>
            </w:r>
            <w:r>
              <w:rPr>
                <w:rFonts w:hint="eastAsia" w:ascii="Times New Roman" w:hAnsi="Times New Roman" w:eastAsia="宋体" w:cs="Times New Roman"/>
                <w:color w:val="auto"/>
                <w:sz w:val="24"/>
                <w:szCs w:val="22"/>
                <w:highlight w:val="none"/>
              </w:rPr>
              <w:t xml:space="preserve">）</w:t>
            </w:r>
            <w:r/>
          </w:p>
        </w:tc>
      </w:tr>
      <w:tr>
        <w:trPr>
          <w:jc w:val="center"/>
          <w:trHeight w:val="510"/>
        </w:trPr>
        <w:tc>
          <w:tcPr>
            <w:tcW w:w="988" w:type="dxa"/>
            <w:vAlign w:val="center"/>
            <w:vMerge w:val="continue"/>
            <w:textDirection w:val="lrTb"/>
            <w:noWrap w:val="false"/>
          </w:tcPr>
          <w:p>
            <w:pPr>
              <w:pStyle w:val="1148"/>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开标前答疑会</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不召开</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5</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标的所属行业</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本项目采购标的对应的中小企业划分标准所属行业：</w:t>
            </w:r>
            <w:r>
              <w:rPr>
                <w:rFonts w:hint="eastAsia" w:ascii="宋体" w:hAnsi="宋体" w:eastAsia="宋体" w:cs="宋体"/>
                <w:b/>
                <w:bCs/>
                <w:color w:val="auto"/>
                <w:sz w:val="22"/>
                <w:szCs w:val="22"/>
                <w:highlight w:val="none"/>
                <w:u w:val="single"/>
              </w:rPr>
              <w:t xml:space="preserve">其他未列明行业</w:t>
            </w:r>
            <w:r>
              <w:rPr>
                <w:rFonts w:hint="eastAsia" w:ascii="宋体" w:hAnsi="宋体" w:eastAsia="宋体" w:cs="宋体"/>
                <w:b/>
                <w:bCs/>
                <w:color w:val="auto"/>
                <w:sz w:val="22"/>
                <w:szCs w:val="22"/>
                <w:highlight w:val="none"/>
              </w:rPr>
              <w:t xml:space="preserve">。</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6</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投标报价的特殊规定：无</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7</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投标保证金</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免收</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8</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投标有效期</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自提交投标文件的截止之日起算</w:t>
            </w:r>
            <w:r>
              <w:rPr>
                <w:rFonts w:hint="eastAsia" w:ascii="宋体" w:hAnsi="宋体" w:cs="宋体"/>
                <w:color w:val="auto"/>
                <w:sz w:val="22"/>
                <w:szCs w:val="22"/>
                <w:highlight w:val="none"/>
                <w:u w:val="single"/>
                <w:lang w:val="en-US" w:eastAsia="zh-CN"/>
              </w:rPr>
              <w:t xml:space="preserve">60</w:t>
            </w:r>
            <w:r>
              <w:rPr>
                <w:rFonts w:hint="eastAsia" w:ascii="宋体" w:hAnsi="宋体" w:eastAsia="宋体" w:cs="宋体"/>
                <w:color w:val="auto"/>
                <w:sz w:val="22"/>
                <w:szCs w:val="22"/>
                <w:highlight w:val="none"/>
              </w:rPr>
              <w:t xml:space="preserve">日历天。</w:t>
            </w:r>
            <w:r/>
          </w:p>
        </w:tc>
      </w:tr>
      <w:tr>
        <w:trPr>
          <w:jc w:val="center"/>
          <w:trHeight w:val="510"/>
        </w:trPr>
        <w:tc>
          <w:tcPr>
            <w:tcW w:w="988" w:type="dxa"/>
            <w:vAlign w:val="center"/>
            <w:textDirection w:val="lrTb"/>
            <w:noWrap w:val="false"/>
          </w:tcPr>
          <w:p>
            <w:pPr>
              <w:pStyle w:val="1148"/>
              <w:jc w:val="center"/>
              <w:rPr>
                <w:rFonts w:hint="eastAsia" w:ascii="宋体" w:hAnsi="宋体" w:eastAsia="宋体" w:cs="宋体"/>
                <w:color w:val="auto"/>
                <w:sz w:val="22"/>
                <w:szCs w:val="22"/>
                <w:highlight w:val="none"/>
                <w:lang w:eastAsia="zh-CN"/>
              </w:rPr>
            </w:pPr>
            <w:r>
              <w:rPr>
                <w:rFonts w:hint="eastAsia" w:hAnsi="宋体" w:cs="宋体"/>
                <w:color w:val="auto"/>
                <w:sz w:val="22"/>
                <w:szCs w:val="22"/>
                <w:highlight w:val="none"/>
                <w:lang w:val="en-US" w:eastAsia="zh-CN"/>
              </w:rPr>
              <w:t xml:space="preserve">9</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分包</w:t>
            </w:r>
            <w:r/>
          </w:p>
        </w:tc>
        <w:tc>
          <w:tcPr>
            <w:tcW w:w="7179" w:type="dxa"/>
            <w:vAlign w:val="center"/>
            <w:textDirection w:val="lrTb"/>
            <w:noWrap w:val="false"/>
          </w:tcPr>
          <w:p>
            <w:pPr>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本项目的非主体、非关键性工作是否允许分包： 不允许</w:t>
            </w:r>
            <w:r/>
          </w:p>
        </w:tc>
      </w:tr>
      <w:tr>
        <w:trPr>
          <w:jc w:val="center"/>
          <w:trHeight w:val="984"/>
        </w:trPr>
        <w:tc>
          <w:tcPr>
            <w:tcW w:w="988" w:type="dxa"/>
            <w:vAlign w:val="center"/>
            <w:textDirection w:val="lrTb"/>
            <w:noWrap w:val="false"/>
          </w:tcPr>
          <w:p>
            <w:pPr>
              <w:pStyle w:val="1148"/>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10</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询问</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询问送达形式：于202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月</w:t>
            </w:r>
            <w:r>
              <w:rPr>
                <w:rFonts w:hint="eastAsia" w:ascii="宋体" w:hAnsi="宋体" w:cs="宋体"/>
                <w:color w:val="auto"/>
                <w:sz w:val="22"/>
                <w:szCs w:val="22"/>
                <w:highlight w:val="none"/>
                <w:lang w:val="en-US" w:eastAsia="zh-CN"/>
              </w:rPr>
              <w:t xml:space="preserve">21</w:t>
            </w:r>
            <w:r>
              <w:rPr>
                <w:rFonts w:hint="eastAsia" w:ascii="宋体" w:hAnsi="宋体" w:eastAsia="宋体" w:cs="宋体"/>
                <w:color w:val="auto"/>
                <w:sz w:val="22"/>
                <w:szCs w:val="22"/>
                <w:highlight w:val="none"/>
              </w:rPr>
              <w:t xml:space="preserve">日1</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:00（北京时间）前以书面形式递交至</w:t>
            </w:r>
            <w:r>
              <w:rPr>
                <w:rFonts w:hint="eastAsia" w:ascii="宋体" w:hAnsi="宋体" w:cs="宋体"/>
                <w:color w:val="auto"/>
                <w:sz w:val="22"/>
                <w:szCs w:val="22"/>
                <w:highlight w:val="none"/>
                <w:lang w:val="en-US" w:eastAsia="zh-CN"/>
              </w:rPr>
              <w:t xml:space="preserve">江苏正誉项目管理有限公司</w:t>
            </w:r>
            <w:r>
              <w:rPr>
                <w:rFonts w:hint="eastAsia" w:ascii="宋体" w:hAnsi="宋体" w:eastAsia="宋体" w:cs="宋体"/>
                <w:color w:val="auto"/>
                <w:sz w:val="22"/>
                <w:szCs w:val="22"/>
                <w:highlight w:val="none"/>
              </w:rPr>
              <w:t xml:space="preserve">。（注：① 质疑文件须由投标单位法定代表人亲自签署并加盖投标单位公章。</w:t>
            </w:r>
            <w:r/>
          </w:p>
        </w:tc>
      </w:tr>
      <w:tr>
        <w:trPr>
          <w:jc w:val="center"/>
          <w:trHeight w:val="984"/>
        </w:trPr>
        <w:tc>
          <w:tcPr>
            <w:tcW w:w="988" w:type="dxa"/>
            <w:vAlign w:val="center"/>
            <w:textDirection w:val="lrTb"/>
            <w:noWrap w:val="false"/>
          </w:tcPr>
          <w:p>
            <w:pPr>
              <w:pStyle w:val="1148"/>
              <w:jc w:val="center"/>
              <w:spacing w:line="276" w:lineRule="auto"/>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11</w:t>
            </w:r>
            <w:r/>
          </w:p>
        </w:tc>
        <w:tc>
          <w:tcPr>
            <w:tcW w:w="1701"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质疑</w:t>
            </w:r>
            <w:r/>
          </w:p>
        </w:tc>
        <w:tc>
          <w:tcPr>
            <w:tcW w:w="7179" w:type="dxa"/>
            <w:vAlign w:val="center"/>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质疑送达形式：</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一、供应商认为自己的权益受到损害的，可以在知道或者应知其权益受到损害之日起七个工作日内，向采购代理机构提出质疑。</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1.接收质疑函的方式：接收加盖单位公章的书面质疑函</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2.质疑函的内容、格式：应符合《政府采购质疑和投诉办法》相关规定和财政部门制定的《政府采购质疑函范本》格式。</w:t>
            </w:r>
            <w:r/>
          </w:p>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二、供应商应在法定质疑期内一次性针对同一采购程序环节提出质疑，否则针对再次提出的质疑将不予接收。（采购程序环节分为：采购公告、招标文件、采购过程、成交结果）</w:t>
            </w:r>
            <w:r/>
          </w:p>
        </w:tc>
      </w:tr>
      <w:tr>
        <w:trPr>
          <w:jc w:val="center"/>
          <w:trHeight w:val="1566"/>
        </w:trPr>
        <w:tc>
          <w:tcPr>
            <w:tcW w:w="988" w:type="dxa"/>
            <w:vAlign w:val="center"/>
            <w:textDirection w:val="lrTb"/>
            <w:noWrap w:val="false"/>
          </w:tcPr>
          <w:p>
            <w:pPr>
              <w:pStyle w:val="1148"/>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12</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联系方式</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接收询问和质疑的联系方式</w:t>
            </w:r>
            <w:r/>
          </w:p>
          <w:p>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联系单位：</w:t>
            </w:r>
            <w:r>
              <w:rPr>
                <w:rFonts w:hint="eastAsia" w:ascii="宋体" w:hAnsi="宋体" w:cs="宋体"/>
                <w:color w:val="auto"/>
                <w:sz w:val="22"/>
                <w:szCs w:val="22"/>
                <w:highlight w:val="none"/>
                <w:lang w:eastAsia="zh-CN"/>
              </w:rPr>
              <w:t xml:space="preserve">江苏正誉项目管理有限公司</w:t>
            </w:r>
            <w:r/>
          </w:p>
          <w:p>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 系 人：</w:t>
            </w:r>
            <w:r>
              <w:rPr>
                <w:rFonts w:hint="eastAsia" w:ascii="宋体" w:hAnsi="宋体" w:cs="宋体"/>
                <w:color w:val="auto"/>
                <w:sz w:val="22"/>
                <w:szCs w:val="22"/>
                <w:highlight w:val="none"/>
                <w:lang w:eastAsia="zh-CN"/>
              </w:rPr>
              <w:t xml:space="preserve">赵工</w:t>
            </w:r>
            <w:r/>
          </w:p>
          <w:p>
            <w:pPr>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联系电话：</w:t>
            </w:r>
            <w:r>
              <w:rPr>
                <w:rFonts w:hint="eastAsia" w:ascii="宋体" w:hAnsi="宋体" w:cs="宋体"/>
                <w:color w:val="auto"/>
                <w:sz w:val="22"/>
                <w:szCs w:val="22"/>
                <w:highlight w:val="none"/>
                <w:lang w:eastAsia="zh-CN"/>
              </w:rPr>
              <w:t xml:space="preserve">15861135830</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通讯地址：常州市新北区顺园路15号办公楼4楼</w:t>
            </w:r>
            <w:r/>
          </w:p>
        </w:tc>
      </w:tr>
      <w:tr>
        <w:trPr>
          <w:jc w:val="center"/>
          <w:trHeight w:val="770"/>
        </w:trPr>
        <w:tc>
          <w:tcPr>
            <w:tcW w:w="988" w:type="dxa"/>
            <w:vAlign w:val="center"/>
            <w:textDirection w:val="lrTb"/>
            <w:noWrap w:val="false"/>
          </w:tcPr>
          <w:p>
            <w:pPr>
              <w:pStyle w:val="1148"/>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 xml:space="preserve">13</w:t>
            </w:r>
            <w:r/>
          </w:p>
        </w:tc>
        <w:tc>
          <w:tcPr>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代理费</w:t>
            </w:r>
            <w:r/>
          </w:p>
        </w:tc>
        <w:tc>
          <w:tcPr>
            <w:tcW w:w="7179" w:type="dxa"/>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收费对象：</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收费标准：以中标（成交）金额为基数，收费比例按差额定率累进法计算：100万元以下1.5%，</w:t>
            </w:r>
            <w:r>
              <w:rPr>
                <w:rFonts w:hint="eastAsia" w:ascii="宋体" w:hAnsi="宋体" w:eastAsia="宋体" w:cs="宋体"/>
                <w:color w:val="auto"/>
                <w:sz w:val="22"/>
                <w:szCs w:val="22"/>
                <w:highlight w:val="none"/>
                <w:lang w:val="en-US" w:eastAsia="zh-CN"/>
              </w:rPr>
              <w:t xml:space="preserve">100-500万元按0.8%，500-1000万元按</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低于叁仟按叁仟计取</w:t>
            </w:r>
            <w:r>
              <w:rPr>
                <w:rFonts w:hint="eastAsia" w:ascii="宋体" w:hAnsi="宋体" w:eastAsia="宋体" w:cs="宋体"/>
                <w:color w:val="auto"/>
                <w:sz w:val="22"/>
                <w:szCs w:val="22"/>
                <w:highlight w:val="none"/>
                <w:lang w:eastAsia="zh-CN"/>
              </w:rPr>
              <w:t xml:space="preserve">。</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缴纳时间：成交供应商在中标（成交）通知书发出之日起五个工作日内向采购代理机构缴纳。</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户名：江苏正誉项目管理有限公司</w:t>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开户银行：江苏江南农村商业银行常州市钟楼支行</w:t>
            </w:r>
            <w:r/>
          </w:p>
          <w:p>
            <w:pPr>
              <w:jc w:val="left"/>
              <w:rPr>
                <w:rFonts w:hint="eastAsia" w:ascii="宋体" w:hAnsi="宋体" w:eastAsia="宋体" w:cs="宋体"/>
                <w:color w:val="auto"/>
                <w:szCs w:val="21"/>
                <w:highlight w:val="none"/>
              </w:rPr>
            </w:pPr>
            <w:r>
              <w:rPr>
                <w:rFonts w:hint="eastAsia" w:ascii="宋体" w:hAnsi="宋体" w:eastAsia="宋体" w:cs="宋体"/>
                <w:color w:val="auto"/>
                <w:sz w:val="22"/>
                <w:szCs w:val="22"/>
                <w:highlight w:val="none"/>
              </w:rPr>
              <w:t xml:space="preserve">银行账号：1142 9000 0000 5520</w:t>
            </w:r>
            <w:r/>
          </w:p>
        </w:tc>
      </w:tr>
    </w:tbl>
    <w:p>
      <w:pPr>
        <w:jc w:val="both"/>
        <w:spacing w:line="360" w:lineRule="auto"/>
        <w:tabs>
          <w:tab w:val="left" w:pos="5580" w:leader="none"/>
        </w:tabs>
        <w:rPr>
          <w:rFonts w:hint="eastAsia" w:ascii="宋体" w:hAnsi="宋体" w:eastAsia="宋体" w:cs="宋体"/>
          <w:color w:val="auto"/>
          <w:sz w:val="24"/>
          <w:highlight w:val="none"/>
        </w:rPr>
        <w:sectPr>
          <w:footerReference w:type="default" r:id="rId17"/>
          <w:footerReference w:type="first" r:id="rId18"/>
          <w:footnotePr/>
          <w:endnotePr/>
          <w:type w:val="nextPage"/>
          <w:pgSz w:w="11907" w:h="16840" w:orient="portrait"/>
          <w:pgMar w:top="1440" w:right="1083" w:bottom="1440" w:left="1083" w:header="851" w:footer="851" w:gutter="0"/>
          <w:pgNumType w:start="1"/>
          <w:cols w:num="1" w:sep="0" w:space="1701" w:equalWidth="1"/>
          <w:docGrid w:linePitch="360"/>
          <w:titlePg/>
        </w:sectPr>
      </w:pPr>
      <w:r>
        <w:rPr>
          <w:rFonts w:hint="eastAsia" w:ascii="宋体" w:hAnsi="宋体" w:eastAsia="宋体" w:cs="宋体"/>
          <w:color w:val="auto"/>
          <w:sz w:val="24"/>
          <w:highlight w:val="none"/>
        </w:rPr>
      </w:r>
      <w:r/>
    </w:p>
    <w:p>
      <w:pPr>
        <w:jc w:val="center"/>
        <w:keepLines/>
        <w:keepNext/>
        <w:spacing w:before="0" w:line="360" w:lineRule="auto"/>
        <w:widowControl w:val="off"/>
        <w:tabs>
          <w:tab w:val="center" w:pos="4592" w:leader="none"/>
          <w:tab w:val="left" w:pos="7860" w:leader="none"/>
        </w:tabs>
        <w:rPr>
          <w:rFonts w:hint="default" w:ascii="Times New Roman" w:hAnsi="Times New Roman" w:eastAsia="宋体" w:cs="Times New Roman"/>
          <w:b/>
          <w:color w:val="auto"/>
          <w:sz w:val="28"/>
          <w:szCs w:val="20"/>
          <w:highlight w:val="none"/>
          <w:lang w:val="en-US" w:eastAsia="zh-CN" w:bidi="ar-SA"/>
        </w:rPr>
        <w:outlineLvl w:val="1"/>
      </w:pPr>
      <w:r/>
      <w:bookmarkStart w:id="93" w:name="_Toc150480755"/>
      <w:r/>
      <w:bookmarkStart w:id="94" w:name="_Toc226965790"/>
      <w:r/>
      <w:bookmarkStart w:id="95" w:name="_Toc226337213"/>
      <w:r/>
      <w:bookmarkStart w:id="96" w:name="_Toc142311019"/>
      <w:r/>
      <w:bookmarkStart w:id="97" w:name="_Toc195842882"/>
      <w:r/>
      <w:bookmarkStart w:id="98" w:name="_Toc353873932"/>
      <w:r/>
      <w:bookmarkStart w:id="99" w:name="_Toc353825542"/>
      <w:r/>
      <w:bookmarkStart w:id="100" w:name="_Toc127151517"/>
      <w:r/>
      <w:bookmarkStart w:id="101" w:name="_Toc150774722"/>
      <w:r/>
      <w:bookmarkStart w:id="102" w:name="_Toc265228355"/>
      <w:r/>
      <w:bookmarkStart w:id="103" w:name="_Toc305158785"/>
      <w:r/>
      <w:bookmarkStart w:id="104" w:name="_Toc264969207"/>
      <w:r/>
      <w:bookmarkStart w:id="105" w:name="_Toc353873662"/>
      <w:r/>
      <w:bookmarkStart w:id="106" w:name="_Toc305158859"/>
      <w:r>
        <w:rPr>
          <w:rFonts w:hint="default" w:ascii="Times New Roman" w:hAnsi="Times New Roman" w:eastAsia="宋体" w:cs="Times New Roman"/>
          <w:b/>
          <w:color w:val="auto"/>
          <w:sz w:val="28"/>
          <w:szCs w:val="20"/>
          <w:highlight w:val="none"/>
          <w:lang w:val="en-US" w:eastAsia="zh-CN" w:bidi="ar-SA"/>
        </w:rPr>
        <w:t xml:space="preserve">投标人须知</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jc w:val="left"/>
        <w:keepLines/>
        <w:keepNext/>
        <w:spacing w:before="0" w:line="360" w:lineRule="auto"/>
        <w:widowControl w:val="off"/>
        <w:tabs>
          <w:tab w:val="center" w:pos="4592" w:leader="none"/>
          <w:tab w:val="left" w:pos="7860" w:leader="none"/>
        </w:tabs>
        <w:rPr>
          <w:rFonts w:hint="default" w:ascii="Times New Roman" w:hAnsi="Times New Roman" w:eastAsia="宋体" w:cs="Times New Roman"/>
          <w:b/>
          <w:color w:val="auto"/>
          <w:sz w:val="28"/>
          <w:szCs w:val="20"/>
          <w:highlight w:val="none"/>
          <w:lang w:val="en-US" w:eastAsia="zh-CN" w:bidi="ar-SA"/>
        </w:rPr>
        <w:outlineLvl w:val="1"/>
      </w:pPr>
      <w:r/>
      <w:bookmarkStart w:id="107" w:name="_Toc127151518"/>
      <w:r/>
      <w:bookmarkStart w:id="108" w:name="_Toc520356143"/>
      <w:r>
        <w:rPr>
          <w:rFonts w:hint="default" w:ascii="Times New Roman" w:hAnsi="Times New Roman" w:eastAsia="宋体" w:cs="Times New Roman"/>
          <w:b/>
          <w:color w:val="auto"/>
          <w:sz w:val="28"/>
          <w:szCs w:val="20"/>
          <w:highlight w:val="none"/>
          <w:lang w:val="en-US" w:eastAsia="zh-CN" w:bidi="ar-SA"/>
        </w:rPr>
        <w:tab/>
      </w:r>
      <w:bookmarkStart w:id="109" w:name="_Toc151193832"/>
      <w:r/>
      <w:bookmarkStart w:id="110" w:name="_Toc150774723"/>
      <w:r/>
      <w:bookmarkStart w:id="111" w:name="_Toc151193760"/>
      <w:r/>
      <w:bookmarkStart w:id="112" w:name="_Toc305158786"/>
      <w:r/>
      <w:bookmarkStart w:id="113" w:name="_Toc150774618"/>
      <w:r/>
      <w:bookmarkStart w:id="114" w:name="_Toc150480756"/>
      <w:r/>
      <w:bookmarkStart w:id="115" w:name="_Toc151193906"/>
      <w:r/>
      <w:bookmarkStart w:id="116" w:name="_Toc264969208"/>
      <w:r/>
      <w:bookmarkStart w:id="117" w:name="_Toc226965708"/>
      <w:r/>
      <w:bookmarkStart w:id="118" w:name="_Toc150509269"/>
      <w:r/>
      <w:bookmarkStart w:id="119" w:name="_Toc195842883"/>
      <w:r/>
      <w:bookmarkStart w:id="120" w:name="_Toc151193616"/>
      <w:r/>
      <w:bookmarkStart w:id="121" w:name="_Toc226965791"/>
      <w:r/>
      <w:bookmarkStart w:id="122" w:name="_Toc265228356"/>
      <w:r/>
      <w:bookmarkStart w:id="123" w:name="_Toc151193688"/>
      <w:r/>
      <w:bookmarkStart w:id="124" w:name="_Toc305158860"/>
      <w:r/>
      <w:bookmarkStart w:id="125" w:name="_Toc151190145"/>
      <w:r/>
      <w:bookmarkStart w:id="126" w:name="_Toc226337214"/>
      <w:r/>
      <w:bookmarkStart w:id="127" w:name="_Toc226309762"/>
      <w:r/>
      <w:bookmarkStart w:id="128" w:name="_Toc142311020"/>
      <w:r>
        <w:rPr>
          <w:rFonts w:hint="default" w:ascii="Times New Roman" w:hAnsi="Times New Roman" w:eastAsia="宋体" w:cs="Times New Roman"/>
          <w:b/>
          <w:color w:val="auto"/>
          <w:sz w:val="28"/>
          <w:szCs w:val="20"/>
          <w:highlight w:val="none"/>
          <w:lang w:val="en-US" w:eastAsia="zh-CN" w:bidi="ar-SA"/>
        </w:rPr>
        <w:t xml:space="preserve">一   说  明</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default" w:ascii="Times New Roman" w:hAnsi="Times New Roman" w:eastAsia="宋体" w:cs="Times New Roman"/>
          <w:b/>
          <w:color w:val="auto"/>
          <w:sz w:val="28"/>
          <w:szCs w:val="20"/>
          <w:highlight w:val="none"/>
          <w:lang w:val="en-US" w:eastAsia="zh-CN" w:bidi="ar-SA"/>
        </w:rPr>
        <w:tab/>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129" w:name="_Toc265228357"/>
      <w:r/>
      <w:bookmarkStart w:id="130" w:name="_Toc264969209"/>
      <w:r/>
      <w:bookmarkStart w:id="131" w:name="_Toc305158861"/>
      <w:r/>
      <w:bookmarkStart w:id="132" w:name="_Toc305158787"/>
      <w:r>
        <w:rPr>
          <w:rFonts w:hint="eastAsia" w:ascii="宋体" w:hAnsi="宋体" w:eastAsia="宋体" w:cs="宋体"/>
          <w:b/>
          <w:bCs/>
          <w:color w:val="auto"/>
          <w:szCs w:val="21"/>
          <w:highlight w:val="none"/>
        </w:rPr>
        <w:t xml:space="preserve">1.采购人、采购代理机构、投标人</w:t>
      </w:r>
      <w:bookmarkEnd w:id="129"/>
      <w:r/>
      <w:bookmarkEnd w:id="130"/>
      <w:r/>
      <w:bookmarkEnd w:id="131"/>
      <w:r/>
      <w:bookmarkEnd w:id="132"/>
      <w:r>
        <w:rPr>
          <w:rFonts w:hint="eastAsia" w:ascii="宋体" w:hAnsi="宋体" w:eastAsia="宋体" w:cs="宋体"/>
          <w:b/>
          <w:bCs/>
          <w:color w:val="auto"/>
          <w:szCs w:val="21"/>
          <w:highlight w:val="none"/>
        </w:rPr>
        <w:t xml:space="preserve">、联合体</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1.2投标人（也称“供应商”、“申请人”）：指向采购人提供货物、工程或者服务的法人、其他组织或者自然人。</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1.3联合体：指两个以上的自然人、法人或者其他组织组成一个联合体，以一个供应商的身份共同参加政府采购。</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133" w:name="_Toc226309764"/>
      <w:r/>
      <w:bookmarkStart w:id="134" w:name="_Toc195842885"/>
      <w:r/>
      <w:bookmarkStart w:id="135" w:name="_Toc150509271"/>
      <w:r/>
      <w:bookmarkStart w:id="136" w:name="_Toc265228358"/>
      <w:r/>
      <w:bookmarkStart w:id="137" w:name="_Toc226965793"/>
      <w:r/>
      <w:bookmarkStart w:id="138" w:name="_Toc150480758"/>
      <w:r/>
      <w:bookmarkStart w:id="139" w:name="_Toc127151520"/>
      <w:r/>
      <w:bookmarkStart w:id="140" w:name="_Toc151193762"/>
      <w:r/>
      <w:bookmarkStart w:id="141" w:name="_Toc264969210"/>
      <w:r/>
      <w:bookmarkStart w:id="142" w:name="_Toc151193834"/>
      <w:r/>
      <w:bookmarkStart w:id="143" w:name="_Toc151193690"/>
      <w:r/>
      <w:bookmarkStart w:id="144" w:name="_Toc127161434"/>
      <w:r/>
      <w:bookmarkStart w:id="145" w:name="_Toc150774725"/>
      <w:r/>
      <w:bookmarkStart w:id="146" w:name="_Toc164351614"/>
      <w:r/>
      <w:bookmarkStart w:id="147" w:name="_Toc151193908"/>
      <w:r/>
      <w:bookmarkStart w:id="148" w:name="_Toc142311022"/>
      <w:r/>
      <w:bookmarkStart w:id="149" w:name="_Toc164608789"/>
      <w:r/>
      <w:bookmarkStart w:id="150" w:name="_Toc164229215"/>
      <w:r/>
      <w:bookmarkStart w:id="151" w:name="_Toc151190147"/>
      <w:r/>
      <w:bookmarkStart w:id="152" w:name="_Toc226965710"/>
      <w:r/>
      <w:bookmarkStart w:id="153" w:name="_Toc305158788"/>
      <w:r/>
      <w:bookmarkStart w:id="154" w:name="_Toc226337216"/>
      <w:r/>
      <w:bookmarkStart w:id="155" w:name="_Toc127151721"/>
      <w:r/>
      <w:bookmarkStart w:id="156" w:name="_Toc151193618"/>
      <w:r/>
      <w:bookmarkStart w:id="157" w:name="_Toc164229361"/>
      <w:r/>
      <w:bookmarkStart w:id="158" w:name="_Toc164608634"/>
      <w:r/>
      <w:bookmarkStart w:id="159" w:name="_Toc150774620"/>
      <w:r/>
      <w:bookmarkStart w:id="160" w:name="_Toc305158862"/>
      <w:r/>
      <w:bookmarkStart w:id="161" w:name="_Toc149720813"/>
      <w:r>
        <w:rPr>
          <w:rFonts w:hint="eastAsia" w:ascii="宋体" w:hAnsi="宋体" w:eastAsia="宋体" w:cs="宋体"/>
          <w:b/>
          <w:bCs/>
          <w:color w:val="auto"/>
          <w:szCs w:val="21"/>
          <w:highlight w:val="none"/>
        </w:rPr>
        <w:t xml:space="preserve">2.资金来源</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
          <w:bCs/>
          <w:color w:val="auto"/>
          <w:szCs w:val="21"/>
          <w:highlight w:val="none"/>
        </w:rPr>
        <w:t xml:space="preserve">、项目属性、科研仪器设备采购、核心产品</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2.1资金来源为财政性资金和/或本项目采购中无法与财政性资金分割的非财政性资金。</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2.2项目属性见《投标人须知资料表》。</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2.3是否属于科研仪器设备采购见《投标人须知资料表》。</w:t>
      </w:r>
      <w:r/>
    </w:p>
    <w:p>
      <w:pPr>
        <w:ind w:firstLine="420"/>
        <w:spacing w:line="360" w:lineRule="auto"/>
        <w:tabs>
          <w:tab w:val="left" w:pos="1080" w:leader="none"/>
          <w:tab w:val="left" w:pos="2014"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2.4核心产品见《投标人须知资料表》。</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3.现场考察、开标前答疑会</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3.1若《投标人须知资料表》中规定了组织现场考察、召开开标前答疑会，则投标人应按要求在规定的时间和地点参加。</w:t>
      </w:r>
      <w:bookmarkStart w:id="162" w:name="_Toc150509273"/>
      <w:r/>
      <w:bookmarkStart w:id="163" w:name="_Toc151193692"/>
      <w:r/>
      <w:bookmarkStart w:id="164" w:name="_Toc265228360"/>
      <w:r/>
      <w:bookmarkStart w:id="165" w:name="_Toc150774622"/>
      <w:r/>
      <w:bookmarkStart w:id="166" w:name="_Toc226965795"/>
      <w:r/>
      <w:bookmarkStart w:id="167" w:name="_Toc226337218"/>
      <w:r/>
      <w:bookmarkStart w:id="168" w:name="_Toc151193620"/>
      <w:r/>
      <w:bookmarkStart w:id="169" w:name="_Toc151193836"/>
      <w:r/>
      <w:bookmarkStart w:id="170" w:name="_Toc226309766"/>
      <w:r/>
      <w:bookmarkStart w:id="171" w:name="_Toc142311024"/>
      <w:r/>
      <w:bookmarkStart w:id="172" w:name="_Toc195842887"/>
      <w:r/>
      <w:bookmarkStart w:id="173" w:name="_Toc264969212"/>
      <w:r/>
      <w:bookmarkStart w:id="174" w:name="_Toc150480760"/>
      <w:r/>
      <w:bookmarkStart w:id="175" w:name="_Toc520356146"/>
      <w:r/>
      <w:bookmarkStart w:id="176" w:name="_Toc127151522"/>
      <w:r/>
      <w:bookmarkStart w:id="177" w:name="_Toc151193764"/>
      <w:r/>
      <w:bookmarkStart w:id="178" w:name="_Toc305158790"/>
      <w:r/>
      <w:bookmarkStart w:id="179" w:name="_Toc305158864"/>
      <w:r/>
      <w:bookmarkStart w:id="180" w:name="_Toc151193910"/>
      <w:r/>
      <w:bookmarkStart w:id="181" w:name="_Toc226965712"/>
      <w:r/>
      <w:bookmarkStart w:id="182" w:name="_Toc151190149"/>
      <w:r/>
      <w:bookmarkStart w:id="183" w:name="_Toc150774727"/>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4.样品</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4.2样品的评审方法以及评审标准等内容见第四章《评标方法和评标标准》。</w:t>
      </w:r>
      <w:r/>
    </w:p>
    <w:p>
      <w:pPr>
        <w:spacing w:line="360" w:lineRule="auto"/>
        <w:tabs>
          <w:tab w:val="left" w:pos="360" w:leader="none"/>
        </w:tabs>
        <w:rPr>
          <w:rFonts w:hint="eastAsia" w:ascii="Times New Roman" w:hAnsi="Times New Roman" w:eastAsia="宋体" w:cs="Times New Roman"/>
          <w:color w:val="auto"/>
          <w:highlight w:val="none"/>
        </w:rPr>
        <w:outlineLvl w:val="1"/>
      </w:pPr>
      <w:r>
        <w:rPr>
          <w:rFonts w:hint="eastAsia" w:ascii="宋体" w:hAnsi="宋体" w:eastAsia="宋体" w:cs="宋体"/>
          <w:b/>
          <w:bCs/>
          <w:color w:val="auto"/>
          <w:szCs w:val="21"/>
          <w:highlight w:val="none"/>
        </w:rPr>
        <w:t xml:space="preserve">5.政府采购政策（包括但不限于下列具体政策要求）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5.1进口产品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5.2中小企业、监狱企业及残疾人福利性单位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5.2.1中小企业定义：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5.2.1.1中小企业</w:t>
      </w:r>
      <w:r>
        <w:rPr>
          <w:rFonts w:hint="eastAsia" w:ascii="宋体" w:hAnsi="宋体" w:eastAsia="宋体" w:cs="宋体"/>
          <w:color w:val="auto"/>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5.2.1.2供应商提供的货物、工程或者服务符合下列情形的，享受中小企业扶持政策：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5.2.3残疾人福利单位定义：享受政府采购支持政策的残疾人福利性单位应当同时满足以下条件：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5.2.3.1安置的残疾人占本单位在职职工人数的比例不低于25%（含25%），并且安置的残疾人人数不少于10人（含10人）；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5.2.3.2依法与安置的每位残疾人签订了一年以上（含一年）的劳动合同或服务协议；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5.2.3.3为安置的每位残疾人按月足额缴纳了基本养老保险、基本医疗保险、失业保险、工伤保险和生育保险等社会保险费；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5.2.4本项目是否专门面向中小企业预留采购份额见第一章《投标邀请》。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5.2.5采购标的对应的中小企业划分标准所属行业见《投标人须知资料表》。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5.2.6小微企业价格评审优惠的政策调整：见第四章《评标方法和评标标准》。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5.3政府采购节能产品、环境标志产品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5.3.4非政府强制采购的节能产品或环境标志产品，依据品目清单和认证证书实施政府优先采购。优先采购的具体规定见第四章《评标方法和评标标准》（如涉及）。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5.4支持乡村产业振兴管理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5.5正版软件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5.6信息安全产品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5.6.1所投产品属于《关于调整信息安全产品强制性认证实施要求的公告》（2009年第33号）范围的，采购经国家认证的信息安全产品，否则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。关于信息安全相关规定依据《关于信息安全产品实施政府采购的通知》（财库〔2010〕48号）。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5.7政府采购创新产品政策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6.投标费用</w:t>
      </w:r>
      <w:r/>
    </w:p>
    <w:p>
      <w:pPr>
        <w:ind w:firstLine="420"/>
        <w:spacing w:line="360" w:lineRule="auto"/>
        <w:tabs>
          <w:tab w:val="left" w:pos="1080" w:leader="none"/>
          <w:tab w:val="left" w:pos="2014" w:leader="none"/>
        </w:tabs>
        <w:rPr>
          <w:rFonts w:ascii="Times New Roman" w:hAnsi="Times New Roman" w:eastAsia="宋体" w:cs="Times New Roman"/>
          <w:color w:val="auto"/>
          <w:sz w:val="28"/>
          <w:highlight w:val="none"/>
        </w:rPr>
      </w:pPr>
      <w:r>
        <w:rPr>
          <w:rFonts w:hint="eastAsia" w:ascii="宋体" w:hAnsi="宋体" w:eastAsia="宋体" w:cs="宋体"/>
          <w:color w:val="auto"/>
          <w:szCs w:val="21"/>
          <w:highlight w:val="none"/>
        </w:rPr>
        <w:t xml:space="preserve">6.1投标人应自行承担所有与准备和参加投标有关的费用，无论投标的结果如何，采购人或采购代理机构在任何情况下均无承担这些费用的义务和责任。</w:t>
      </w:r>
      <w:bookmarkStart w:id="184" w:name="_1.8_计量单位"/>
      <w:r/>
      <w:bookmarkEnd w:id="184"/>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rPr>
          <w:rFonts w:hint="default" w:ascii="Times New Roman" w:hAnsi="Times New Roman" w:eastAsia="宋体" w:cs="Times New Roman"/>
          <w:b/>
          <w:color w:val="auto"/>
          <w:sz w:val="28"/>
          <w:szCs w:val="20"/>
          <w:highlight w:val="none"/>
          <w:lang w:val="en-US" w:eastAsia="zh-CN" w:bidi="ar-SA"/>
        </w:rPr>
        <w:t xml:space="preserve">二   招标文件</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185" w:name="_Toc151193911"/>
      <w:r/>
      <w:bookmarkStart w:id="186" w:name="_Toc226965713"/>
      <w:r/>
      <w:bookmarkStart w:id="187" w:name="_Toc127151523"/>
      <w:r/>
      <w:bookmarkStart w:id="188" w:name="_Toc264969213"/>
      <w:r/>
      <w:bookmarkStart w:id="189" w:name="_Toc265228361"/>
      <w:r/>
      <w:bookmarkStart w:id="190" w:name="_Toc151193765"/>
      <w:r/>
      <w:bookmarkStart w:id="191" w:name="_Toc164229218"/>
      <w:r/>
      <w:bookmarkStart w:id="192" w:name="_Toc150774728"/>
      <w:r/>
      <w:bookmarkStart w:id="193" w:name="_Toc150509274"/>
      <w:r/>
      <w:bookmarkStart w:id="194" w:name="_Toc151193621"/>
      <w:r/>
      <w:bookmarkStart w:id="195" w:name="_Toc151193693"/>
      <w:r/>
      <w:bookmarkStart w:id="196" w:name="_Toc164351617"/>
      <w:r/>
      <w:bookmarkStart w:id="197" w:name="_Toc127161437"/>
      <w:r/>
      <w:bookmarkStart w:id="198" w:name="_Toc142311025"/>
      <w:r/>
      <w:bookmarkStart w:id="199" w:name="_Toc164608637"/>
      <w:r/>
      <w:bookmarkStart w:id="200" w:name="_Toc226309767"/>
      <w:r/>
      <w:bookmarkStart w:id="201" w:name="_Toc164608792"/>
      <w:r/>
      <w:bookmarkStart w:id="202" w:name="_Toc305158791"/>
      <w:r/>
      <w:bookmarkStart w:id="203" w:name="_Toc150774623"/>
      <w:r/>
      <w:bookmarkStart w:id="204" w:name="_Toc305158865"/>
      <w:r/>
      <w:bookmarkStart w:id="205" w:name="_Toc164229364"/>
      <w:r/>
      <w:bookmarkStart w:id="206" w:name="_Toc149720816"/>
      <w:r/>
      <w:bookmarkStart w:id="207" w:name="_Toc151190150"/>
      <w:r/>
      <w:bookmarkStart w:id="208" w:name="_Toc151193837"/>
      <w:r/>
      <w:bookmarkStart w:id="209" w:name="_Toc226965796"/>
      <w:r/>
      <w:bookmarkStart w:id="210" w:name="_Toc520356147"/>
      <w:r/>
      <w:bookmarkStart w:id="211" w:name="_Toc195842888"/>
      <w:r/>
      <w:bookmarkStart w:id="212" w:name="_Toc127151724"/>
      <w:r/>
      <w:bookmarkStart w:id="213" w:name="_Toc226337219"/>
      <w:r/>
      <w:bookmarkStart w:id="214" w:name="_Toc150480761"/>
      <w:r>
        <w:rPr>
          <w:rFonts w:hint="eastAsia" w:ascii="宋体" w:hAnsi="宋体" w:eastAsia="宋体" w:cs="宋体"/>
          <w:b/>
          <w:bCs/>
          <w:color w:val="auto"/>
          <w:szCs w:val="21"/>
          <w:highlight w:val="none"/>
        </w:rPr>
        <w:t xml:space="preserve">7.招标文件构</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eastAsia="宋体" w:cs="宋体"/>
          <w:b/>
          <w:bCs/>
          <w:color w:val="auto"/>
          <w:szCs w:val="21"/>
          <w:highlight w:val="none"/>
        </w:rPr>
        <w:t xml:space="preserve">成</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7.1招标文件包括以下部分：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投标邀请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资格审查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评标程序、评标方法和评标标准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采购需求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拟签订的合同文本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第七章 投标文件格式</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8.对招标文件的澄清或修改</w:t>
      </w:r>
      <w:r/>
    </w:p>
    <w:p>
      <w:pPr>
        <w:ind w:firstLine="420"/>
        <w:spacing w:line="360" w:lineRule="auto"/>
        <w:tabs>
          <w:tab w:val="left" w:pos="1080" w:leader="none"/>
          <w:tab w:val="left" w:pos="1561"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spacing w:line="360" w:lineRule="auto"/>
        <w:tabs>
          <w:tab w:val="left" w:pos="1080" w:leader="none"/>
          <w:tab w:val="left" w:pos="1561"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Times New Roman" w:hAnsi="Times New Roman" w:eastAsia="宋体" w:cs="Times New Roman"/>
          <w:color w:val="auto"/>
          <w:sz w:val="28"/>
          <w:highlight w:val="none"/>
        </w:rPr>
      </w:pPr>
      <w:r/>
      <w:bookmarkStart w:id="215" w:name="_Toc516367020"/>
      <w:r/>
      <w:bookmarkStart w:id="216" w:name="_Toc305158868"/>
      <w:r/>
      <w:bookmarkStart w:id="217" w:name="_Toc151193768"/>
      <w:r/>
      <w:bookmarkStart w:id="218" w:name="_Toc142311028"/>
      <w:r/>
      <w:bookmarkStart w:id="219" w:name="_Toc226337222"/>
      <w:r/>
      <w:bookmarkStart w:id="220" w:name="_Toc151193696"/>
      <w:r/>
      <w:bookmarkStart w:id="221" w:name="_Toc305158794"/>
      <w:r/>
      <w:bookmarkStart w:id="222" w:name="_Toc265228364"/>
      <w:r/>
      <w:bookmarkStart w:id="223" w:name="_Toc150774626"/>
      <w:r/>
      <w:bookmarkStart w:id="224" w:name="_Toc226965716"/>
      <w:r/>
      <w:bookmarkStart w:id="225" w:name="_Toc151193624"/>
      <w:r/>
      <w:bookmarkStart w:id="226" w:name="_Toc226309770"/>
      <w:r/>
      <w:bookmarkStart w:id="227" w:name="_Toc151193914"/>
      <w:r/>
      <w:bookmarkStart w:id="228" w:name="_Toc151193840"/>
      <w:r/>
      <w:bookmarkStart w:id="229" w:name="_Toc520356150"/>
      <w:r/>
      <w:bookmarkStart w:id="230" w:name="_Toc150774731"/>
      <w:r/>
      <w:bookmarkStart w:id="231" w:name="_Toc127151526"/>
      <w:r/>
      <w:bookmarkStart w:id="232" w:name="_Toc151190153"/>
      <w:r/>
      <w:bookmarkStart w:id="233" w:name="_Toc150509277"/>
      <w:r/>
      <w:bookmarkStart w:id="234" w:name="_Toc264969216"/>
      <w:r/>
      <w:bookmarkStart w:id="235" w:name="_Toc150480764"/>
      <w:r/>
      <w:bookmarkStart w:id="236" w:name="_Toc195842891"/>
      <w:r/>
      <w:bookmarkStart w:id="237" w:name="_Toc226965799"/>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rPr>
          <w:rFonts w:hint="default" w:ascii="Times New Roman" w:hAnsi="Times New Roman" w:eastAsia="宋体" w:cs="Times New Roman"/>
          <w:b/>
          <w:color w:val="auto"/>
          <w:sz w:val="28"/>
          <w:szCs w:val="20"/>
          <w:highlight w:val="none"/>
          <w:lang w:val="en-US" w:eastAsia="zh-CN" w:bidi="ar-SA"/>
        </w:rPr>
        <w:t xml:space="preserve">三   投标文件</w:t>
      </w:r>
      <w:bookmarkEnd w:id="215"/>
      <w:r>
        <w:rPr>
          <w:rFonts w:hint="default" w:ascii="Times New Roman" w:hAnsi="Times New Roman" w:eastAsia="宋体" w:cs="Times New Roman"/>
          <w:b/>
          <w:color w:val="auto"/>
          <w:sz w:val="28"/>
          <w:szCs w:val="20"/>
          <w:highlight w:val="none"/>
          <w:lang w:val="en-US" w:eastAsia="zh-CN" w:bidi="ar-SA"/>
        </w:rPr>
        <w:t xml:space="preserve">的编制</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238" w:name="_Toc520356151"/>
      <w:r/>
      <w:bookmarkStart w:id="239" w:name="_Toc164351621"/>
      <w:r/>
      <w:bookmarkStart w:id="240" w:name="_Toc150774732"/>
      <w:r/>
      <w:bookmarkStart w:id="241" w:name="_Toc151193915"/>
      <w:r/>
      <w:bookmarkStart w:id="242" w:name="_Toc151193841"/>
      <w:r/>
      <w:bookmarkStart w:id="243" w:name="_Toc127161441"/>
      <w:r/>
      <w:bookmarkStart w:id="244" w:name="_Toc151193769"/>
      <w:r/>
      <w:bookmarkStart w:id="245" w:name="_Toc305158869"/>
      <w:r/>
      <w:bookmarkStart w:id="246" w:name="_Toc150774627"/>
      <w:r/>
      <w:bookmarkStart w:id="247" w:name="_Toc149720820"/>
      <w:r/>
      <w:bookmarkStart w:id="248" w:name="_Toc226965717"/>
      <w:r/>
      <w:bookmarkStart w:id="249" w:name="_Toc195842892"/>
      <w:r/>
      <w:bookmarkStart w:id="250" w:name="_Toc150480765"/>
      <w:r/>
      <w:bookmarkStart w:id="251" w:name="_Toc151193697"/>
      <w:r/>
      <w:bookmarkStart w:id="252" w:name="_Toc265228365"/>
      <w:r/>
      <w:bookmarkStart w:id="253" w:name="_Toc151190154"/>
      <w:r/>
      <w:bookmarkStart w:id="254" w:name="_Toc151193625"/>
      <w:r/>
      <w:bookmarkStart w:id="255" w:name="_Toc164608641"/>
      <w:r/>
      <w:bookmarkStart w:id="256" w:name="_Toc264969217"/>
      <w:r/>
      <w:bookmarkStart w:id="257" w:name="_Toc305158795"/>
      <w:r/>
      <w:bookmarkStart w:id="258" w:name="_Toc516367021"/>
      <w:r/>
      <w:bookmarkStart w:id="259" w:name="_Toc127151728"/>
      <w:r/>
      <w:bookmarkStart w:id="260" w:name="_Toc226965800"/>
      <w:r/>
      <w:bookmarkStart w:id="261" w:name="_Toc150509278"/>
      <w:r/>
      <w:bookmarkStart w:id="262" w:name="_Toc226309771"/>
      <w:r/>
      <w:bookmarkStart w:id="263" w:name="_Toc164608796"/>
      <w:r/>
      <w:bookmarkStart w:id="264" w:name="_Toc142311029"/>
      <w:r/>
      <w:bookmarkStart w:id="265" w:name="_Toc164229368"/>
      <w:r/>
      <w:bookmarkStart w:id="266" w:name="_Toc127151527"/>
      <w:r/>
      <w:bookmarkStart w:id="267" w:name="_Toc226337223"/>
      <w:r/>
      <w:bookmarkStart w:id="268" w:name="_Toc164229222"/>
      <w:r>
        <w:rPr>
          <w:rFonts w:hint="eastAsia" w:ascii="宋体" w:hAnsi="宋体" w:eastAsia="宋体" w:cs="宋体"/>
          <w:b/>
          <w:bCs/>
          <w:color w:val="auto"/>
          <w:szCs w:val="21"/>
          <w:highlight w:val="none"/>
        </w:rPr>
        <w:t xml:space="preserve">9.投标范围、投标文件中计量单位的使用</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eastAsia="宋体" w:cs="宋体"/>
          <w:b/>
          <w:bCs/>
          <w:color w:val="auto"/>
          <w:szCs w:val="21"/>
          <w:highlight w:val="none"/>
        </w:rPr>
        <w:t xml:space="preserve">及投标语言</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Cs w:val="21"/>
          <w:highlight w:val="none"/>
        </w:rPr>
        <w:t xml:space="preserve">无效投标</w:t>
      </w:r>
      <w:r>
        <w:rPr>
          <w:rFonts w:hint="eastAsia" w:ascii="宋体" w:hAnsi="宋体" w:eastAsia="宋体" w:cs="宋体"/>
          <w:color w:val="auto"/>
          <w:szCs w:val="21"/>
          <w:highlight w:val="none"/>
        </w:rPr>
        <w:t xml:space="preserve">。</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9.2除招标文件有特殊要求外，本项目投标所使用的计量单位，应采用中华人民共和国法定计量单位。</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269" w:name="_Toc516367022"/>
      <w:r/>
      <w:bookmarkStart w:id="270" w:name="_Ref467306195"/>
      <w:r/>
      <w:bookmarkStart w:id="271" w:name="_Ref467306676"/>
      <w:r/>
      <w:bookmarkStart w:id="272" w:name="_Toc151193626"/>
      <w:r/>
      <w:bookmarkStart w:id="273" w:name="_Toc151193698"/>
      <w:r/>
      <w:bookmarkStart w:id="274" w:name="_Toc265228366"/>
      <w:r/>
      <w:bookmarkStart w:id="275" w:name="_Toc151193842"/>
      <w:r/>
      <w:bookmarkStart w:id="276" w:name="_Toc226337224"/>
      <w:r/>
      <w:bookmarkStart w:id="277" w:name="_Toc226965718"/>
      <w:r/>
      <w:bookmarkStart w:id="278" w:name="_Toc150509279"/>
      <w:r/>
      <w:bookmarkStart w:id="279" w:name="_Toc142311030"/>
      <w:r/>
      <w:bookmarkStart w:id="280" w:name="_Toc150774628"/>
      <w:r/>
      <w:bookmarkStart w:id="281" w:name="_Toc164229369"/>
      <w:r/>
      <w:bookmarkStart w:id="282" w:name="_Toc264969218"/>
      <w:r/>
      <w:bookmarkStart w:id="283" w:name="_Toc305158870"/>
      <w:r/>
      <w:bookmarkStart w:id="284" w:name="_Toc226309772"/>
      <w:r/>
      <w:bookmarkStart w:id="285" w:name="_Toc164608797"/>
      <w:r/>
      <w:bookmarkStart w:id="286" w:name="_Toc195842893"/>
      <w:r/>
      <w:bookmarkStart w:id="287" w:name="_Toc164351622"/>
      <w:r/>
      <w:bookmarkStart w:id="288" w:name="_Toc520356152"/>
      <w:r/>
      <w:bookmarkStart w:id="289" w:name="_Toc127161442"/>
      <w:r/>
      <w:bookmarkStart w:id="290" w:name="_Toc127151528"/>
      <w:r/>
      <w:bookmarkStart w:id="291" w:name="_Toc151190155"/>
      <w:r/>
      <w:bookmarkStart w:id="292" w:name="_Toc150480766"/>
      <w:r/>
      <w:bookmarkStart w:id="293" w:name="_Toc226965801"/>
      <w:r/>
      <w:bookmarkStart w:id="294" w:name="_Toc149720821"/>
      <w:r/>
      <w:bookmarkStart w:id="295" w:name="_Toc151193916"/>
      <w:r/>
      <w:bookmarkStart w:id="296" w:name="_Toc164608642"/>
      <w:r/>
      <w:bookmarkStart w:id="297" w:name="_Toc305158796"/>
      <w:r/>
      <w:bookmarkStart w:id="298" w:name="_Toc164229223"/>
      <w:r/>
      <w:bookmarkStart w:id="299" w:name="_Toc127151729"/>
      <w:r/>
      <w:bookmarkStart w:id="300" w:name="_Toc151193770"/>
      <w:r/>
      <w:bookmarkStart w:id="301" w:name="_Toc150774733"/>
      <w:r>
        <w:rPr>
          <w:rFonts w:hint="eastAsia" w:ascii="宋体" w:hAnsi="宋体" w:eastAsia="宋体" w:cs="宋体"/>
          <w:b/>
          <w:bCs/>
          <w:color w:val="auto"/>
          <w:szCs w:val="21"/>
          <w:highlight w:val="none"/>
        </w:rPr>
        <w:t xml:space="preserve">10.投标文件</w:t>
      </w:r>
      <w:bookmarkEnd w:id="269"/>
      <w:r/>
      <w:bookmarkEnd w:id="270"/>
      <w:r/>
      <w:bookmarkEnd w:id="271"/>
      <w:r>
        <w:rPr>
          <w:rFonts w:hint="eastAsia" w:ascii="宋体" w:hAnsi="宋体" w:eastAsia="宋体" w:cs="宋体"/>
          <w:b/>
          <w:bCs/>
          <w:color w:val="auto"/>
          <w:szCs w:val="21"/>
          <w:highlight w:val="none"/>
        </w:rPr>
        <w:t xml:space="preserve">构成</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bookmarkStart w:id="302" w:name="_Ref467052588"/>
      <w:r>
        <w:rPr>
          <w:rFonts w:hint="eastAsia" w:ascii="宋体" w:hAnsi="宋体" w:eastAsia="宋体" w:cs="宋体"/>
          <w:color w:val="auto"/>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。未标记“实质性格式”的文件和招标文件未提供格式的内容，可由投标人自行编写。</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10.3第四章《评标程序、评标方法和评标标准》中涉及的证明文件。</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10.5投标人认为应附的其他材料。</w:t>
      </w:r>
      <w:bookmarkEnd w:id="302"/>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03" w:name="_Toc164608799"/>
      <w:r/>
      <w:bookmarkStart w:id="304" w:name="_Toc151193772"/>
      <w:r/>
      <w:bookmarkStart w:id="305" w:name="_Toc164351624"/>
      <w:r/>
      <w:bookmarkStart w:id="306" w:name="_Toc164229371"/>
      <w:r/>
      <w:bookmarkStart w:id="307" w:name="_Toc151193918"/>
      <w:r/>
      <w:bookmarkStart w:id="308" w:name="_Toc127151731"/>
      <w:r/>
      <w:bookmarkStart w:id="309" w:name="_Toc150509281"/>
      <w:r/>
      <w:bookmarkStart w:id="310" w:name="_Toc150480768"/>
      <w:r/>
      <w:bookmarkStart w:id="311" w:name="_Toc164229225"/>
      <w:r/>
      <w:bookmarkStart w:id="312" w:name="_Toc127151530"/>
      <w:r/>
      <w:bookmarkStart w:id="313" w:name="_Toc164608644"/>
      <w:r/>
      <w:bookmarkStart w:id="314" w:name="_Toc520356155"/>
      <w:r/>
      <w:bookmarkStart w:id="315" w:name="_Toc142311032"/>
      <w:r/>
      <w:bookmarkStart w:id="316" w:name="_Toc195842895"/>
      <w:r/>
      <w:bookmarkStart w:id="317" w:name="_Toc150774735"/>
      <w:r/>
      <w:bookmarkStart w:id="318" w:name="_Toc149720823"/>
      <w:r/>
      <w:bookmarkStart w:id="319" w:name="_Toc151190157"/>
      <w:r/>
      <w:bookmarkStart w:id="320" w:name="_Toc151193700"/>
      <w:r/>
      <w:bookmarkStart w:id="321" w:name="_Toc151193844"/>
      <w:r/>
      <w:bookmarkStart w:id="322" w:name="_Toc150774630"/>
      <w:r/>
      <w:bookmarkStart w:id="323" w:name="_Toc127161444"/>
      <w:r/>
      <w:bookmarkStart w:id="324" w:name="_Toc151193628"/>
      <w:r>
        <w:rPr>
          <w:rFonts w:hint="eastAsia" w:ascii="宋体" w:hAnsi="宋体" w:eastAsia="宋体" w:cs="宋体"/>
          <w:b/>
          <w:bCs/>
          <w:color w:val="auto"/>
          <w:szCs w:val="21"/>
          <w:highlight w:val="none"/>
        </w:rPr>
        <w:t xml:space="preserve">11.投标报价</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11.1所有投标均以人民币报价。</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11.2.2按照招标文件要求完成本项目的全部相关服务费用。 </w:t>
      </w:r>
      <w:r/>
    </w:p>
    <w:p>
      <w:pPr>
        <w:ind w:firstLine="422"/>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11.2.3本项目采用</w:t>
      </w:r>
      <w:r>
        <w:rPr>
          <w:rFonts w:hint="eastAsia" w:ascii="宋体" w:hAnsi="宋体" w:eastAsia="宋体" w:cs="宋体"/>
          <w:b/>
          <w:bCs/>
          <w:color w:val="auto"/>
          <w:szCs w:val="21"/>
          <w:highlight w:val="none"/>
          <w:u w:val="single"/>
        </w:rPr>
        <w:t xml:space="preserve">固定总价</w:t>
      </w:r>
      <w:r>
        <w:rPr>
          <w:rFonts w:hint="eastAsia" w:ascii="宋体" w:hAnsi="宋体" w:eastAsia="宋体" w:cs="宋体"/>
          <w:b/>
          <w:bCs/>
          <w:color w:val="auto"/>
          <w:szCs w:val="21"/>
          <w:highlight w:val="none"/>
        </w:rPr>
        <w:t xml:space="preserve">报价，投标报价不得超过最高限价，否则视作未实质性响应招标文件。</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11.3采购人不得向供应商索要或者接受其给予的赠品、回扣或者与采购无关的其他商品、服务。</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11.4投标人不能提供任何有选择性或可调整的报价，否则其</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25" w:name="_Toc151193701"/>
      <w:r/>
      <w:bookmarkStart w:id="326" w:name="_Toc150774631"/>
      <w:r/>
      <w:bookmarkStart w:id="327" w:name="_Toc264969221"/>
      <w:r/>
      <w:bookmarkStart w:id="328" w:name="_Toc164229372"/>
      <w:r/>
      <w:bookmarkStart w:id="329" w:name="_Toc164229226"/>
      <w:r/>
      <w:bookmarkStart w:id="330" w:name="_Toc151193919"/>
      <w:r/>
      <w:bookmarkStart w:id="331" w:name="_Toc150774736"/>
      <w:r/>
      <w:bookmarkStart w:id="332" w:name="_Toc127151732"/>
      <w:r/>
      <w:bookmarkStart w:id="333" w:name="_Toc151190158"/>
      <w:r/>
      <w:bookmarkStart w:id="334" w:name="_Toc195842896"/>
      <w:r/>
      <w:bookmarkStart w:id="335" w:name="_Toc226965721"/>
      <w:r/>
      <w:bookmarkStart w:id="336" w:name="_Toc265228369"/>
      <w:r/>
      <w:bookmarkStart w:id="337" w:name="_Toc151193773"/>
      <w:r/>
      <w:bookmarkStart w:id="338" w:name="_Toc127151531"/>
      <w:r/>
      <w:bookmarkStart w:id="339" w:name="_Toc226337227"/>
      <w:r/>
      <w:bookmarkStart w:id="340" w:name="_Toc226309775"/>
      <w:r/>
      <w:bookmarkStart w:id="341" w:name="_Toc151193845"/>
      <w:r/>
      <w:bookmarkStart w:id="342" w:name="_Toc164608645"/>
      <w:r/>
      <w:bookmarkStart w:id="343" w:name="_Toc142311033"/>
      <w:r/>
      <w:bookmarkStart w:id="344" w:name="_Ref467306513"/>
      <w:r/>
      <w:bookmarkStart w:id="345" w:name="_Toc150480769"/>
      <w:r/>
      <w:bookmarkStart w:id="346" w:name="_Toc520356156"/>
      <w:r/>
      <w:bookmarkStart w:id="347" w:name="_Toc305158799"/>
      <w:r/>
      <w:bookmarkStart w:id="348" w:name="_Toc127161445"/>
      <w:r/>
      <w:bookmarkStart w:id="349" w:name="_Toc151193629"/>
      <w:r/>
      <w:bookmarkStart w:id="350" w:name="_Toc226965804"/>
      <w:r/>
      <w:bookmarkStart w:id="351" w:name="_Toc164608800"/>
      <w:r/>
      <w:bookmarkStart w:id="352" w:name="_Toc305158873"/>
      <w:r/>
      <w:bookmarkStart w:id="353" w:name="_Toc164351625"/>
      <w:r/>
      <w:bookmarkStart w:id="354" w:name="_Toc149720824"/>
      <w:r/>
      <w:bookmarkStart w:id="355" w:name="_Toc150509282"/>
      <w:r>
        <w:rPr>
          <w:rFonts w:hint="eastAsia" w:ascii="宋体" w:hAnsi="宋体" w:eastAsia="宋体" w:cs="宋体"/>
          <w:b/>
          <w:bCs/>
          <w:color w:val="auto"/>
          <w:szCs w:val="21"/>
          <w:highlight w:val="none"/>
        </w:rPr>
        <w:t xml:space="preserve">12.投标保证金</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eastAsia="宋体" w:cs="宋体"/>
          <w:b/>
          <w:bCs/>
          <w:color w:val="auto"/>
          <w:szCs w:val="21"/>
          <w:highlight w:val="none"/>
        </w:rPr>
        <w:t xml:space="preserve">及履约保证金</w:t>
      </w:r>
      <w:r/>
    </w:p>
    <w:p>
      <w:pPr>
        <w:ind w:left="357"/>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12.1根据江苏省和常州市的相关文件规定，免收投标保证金。</w:t>
      </w:r>
      <w:r/>
    </w:p>
    <w:p>
      <w:pPr>
        <w:ind w:left="357"/>
        <w:spacing w:line="360" w:lineRule="auto"/>
        <w:tabs>
          <w:tab w:val="left" w:pos="360" w:leader="none"/>
        </w:tabs>
        <w:rPr>
          <w:rFonts w:hint="eastAsia" w:ascii="宋体" w:hAnsi="宋体" w:eastAsia="宋体" w:cs="宋体"/>
          <w:color w:val="auto"/>
          <w:highlight w:val="none"/>
        </w:rPr>
        <w:outlineLvl w:val="1"/>
      </w:pPr>
      <w:r>
        <w:rPr>
          <w:rFonts w:hint="eastAsia" w:ascii="宋体" w:hAnsi="宋体" w:eastAsia="宋体" w:cs="宋体"/>
          <w:color w:val="auto"/>
          <w:szCs w:val="21"/>
          <w:highlight w:val="none"/>
        </w:rPr>
        <w:t xml:space="preserve">12.2</w:t>
      </w:r>
      <w:r>
        <w:rPr>
          <w:rFonts w:hint="eastAsia" w:ascii="宋体" w:hAnsi="宋体" w:eastAsia="宋体" w:cs="宋体"/>
          <w:color w:val="auto"/>
          <w:highlight w:val="none"/>
        </w:rPr>
        <w:t xml:space="preserve">中标人须在合同签订之日起5日内向采购人提供金额为</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 xml:space="preserve">的履约保证金或保函。</w:t>
      </w:r>
      <w:r/>
    </w:p>
    <w:p>
      <w:pPr>
        <w:ind w:left="357"/>
        <w:spacing w:line="360" w:lineRule="auto"/>
        <w:tabs>
          <w:tab w:val="left" w:pos="360" w:leader="none"/>
        </w:tabs>
        <w:rPr>
          <w:rFonts w:hint="eastAsia" w:ascii="Times New Roman" w:hAnsi="Times New Roman" w:eastAsia="宋体" w:cs="Times New Roman"/>
          <w:color w:val="auto"/>
          <w:highlight w:val="none"/>
        </w:rPr>
        <w:outlineLvl w:val="1"/>
      </w:pPr>
      <w:r>
        <w:rPr>
          <w:rFonts w:hint="eastAsia" w:ascii="宋体" w:hAnsi="宋体" w:eastAsia="宋体" w:cs="宋体"/>
          <w:color w:val="auto"/>
          <w:highlight w:val="none"/>
        </w:rPr>
        <w:t xml:space="preserve">12.3履约保证金将项目结束后30日内无息退返中标人。</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56" w:name="_Toc264969222"/>
      <w:r/>
      <w:bookmarkStart w:id="357" w:name="_Toc149720825"/>
      <w:r/>
      <w:bookmarkStart w:id="358" w:name="_Toc150509283"/>
      <w:r/>
      <w:bookmarkStart w:id="359" w:name="_Toc265228370"/>
      <w:r/>
      <w:bookmarkStart w:id="360" w:name="_Toc150774632"/>
      <w:r/>
      <w:bookmarkStart w:id="361" w:name="_Toc164351626"/>
      <w:r/>
      <w:bookmarkStart w:id="362" w:name="_Toc305158800"/>
      <w:r/>
      <w:bookmarkStart w:id="363" w:name="_Toc151193920"/>
      <w:r/>
      <w:bookmarkStart w:id="364" w:name="_Toc151193846"/>
      <w:r/>
      <w:bookmarkStart w:id="365" w:name="_Toc164229373"/>
      <w:r/>
      <w:bookmarkStart w:id="366" w:name="_Toc150774737"/>
      <w:r/>
      <w:bookmarkStart w:id="367" w:name="_Toc520356157"/>
      <w:r/>
      <w:bookmarkStart w:id="368" w:name="_Toc151190159"/>
      <w:r/>
      <w:bookmarkStart w:id="369" w:name="_Toc142311034"/>
      <w:r/>
      <w:bookmarkStart w:id="370" w:name="_Toc226337228"/>
      <w:r/>
      <w:bookmarkStart w:id="371" w:name="_Toc150480770"/>
      <w:r/>
      <w:bookmarkStart w:id="372" w:name="_Toc127161446"/>
      <w:r/>
      <w:bookmarkStart w:id="373" w:name="_Toc195842897"/>
      <w:r/>
      <w:bookmarkStart w:id="374" w:name="_Toc127151733"/>
      <w:r/>
      <w:bookmarkStart w:id="375" w:name="_Toc151193774"/>
      <w:r/>
      <w:bookmarkStart w:id="376" w:name="_Toc151193702"/>
      <w:r/>
      <w:bookmarkStart w:id="377" w:name="_Toc226965805"/>
      <w:r/>
      <w:bookmarkStart w:id="378" w:name="_Toc151193630"/>
      <w:r/>
      <w:bookmarkStart w:id="379" w:name="_Toc164608646"/>
      <w:r/>
      <w:bookmarkStart w:id="380" w:name="_Toc127151532"/>
      <w:r/>
      <w:bookmarkStart w:id="381" w:name="_Toc164608801"/>
      <w:r/>
      <w:bookmarkStart w:id="382" w:name="_Toc164229227"/>
      <w:r/>
      <w:bookmarkStart w:id="383" w:name="_Toc226965722"/>
      <w:r/>
      <w:bookmarkStart w:id="384" w:name="_Toc226309776"/>
      <w:r/>
      <w:bookmarkStart w:id="385" w:name="_Toc305158874"/>
      <w:r>
        <w:rPr>
          <w:rFonts w:hint="eastAsia" w:ascii="宋体" w:hAnsi="宋体" w:eastAsia="宋体" w:cs="宋体"/>
          <w:b/>
          <w:bCs/>
          <w:color w:val="auto"/>
          <w:szCs w:val="21"/>
          <w:highlight w:val="none"/>
        </w:rPr>
        <w:t xml:space="preserve">13.投标有效期</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386" w:name="_Toc164608802"/>
      <w:r/>
      <w:bookmarkStart w:id="387" w:name="_Toc150509284"/>
      <w:r/>
      <w:bookmarkStart w:id="388" w:name="_Toc226337229"/>
      <w:r/>
      <w:bookmarkStart w:id="389" w:name="_Toc127161447"/>
      <w:r/>
      <w:bookmarkStart w:id="390" w:name="_Toc150774633"/>
      <w:r/>
      <w:bookmarkStart w:id="391" w:name="_Toc226965723"/>
      <w:r/>
      <w:bookmarkStart w:id="392" w:name="_Toc195842898"/>
      <w:r/>
      <w:bookmarkStart w:id="393" w:name="_Toc164351627"/>
      <w:r/>
      <w:bookmarkStart w:id="394" w:name="_Toc265228371"/>
      <w:r/>
      <w:bookmarkStart w:id="395" w:name="_Toc151193631"/>
      <w:r/>
      <w:bookmarkStart w:id="396" w:name="_Toc127151533"/>
      <w:r/>
      <w:bookmarkStart w:id="397" w:name="_Toc150480771"/>
      <w:r/>
      <w:bookmarkStart w:id="398" w:name="_Toc226965806"/>
      <w:r/>
      <w:bookmarkStart w:id="399" w:name="_Toc520356158"/>
      <w:r/>
      <w:bookmarkStart w:id="400" w:name="_Toc151190160"/>
      <w:r/>
      <w:bookmarkStart w:id="401" w:name="_Toc149720826"/>
      <w:r/>
      <w:bookmarkStart w:id="402" w:name="_Toc151193775"/>
      <w:r/>
      <w:bookmarkStart w:id="403" w:name="_Toc151193703"/>
      <w:r/>
      <w:bookmarkStart w:id="404" w:name="_Toc150774738"/>
      <w:r/>
      <w:bookmarkStart w:id="405" w:name="_Toc164229374"/>
      <w:r/>
      <w:bookmarkStart w:id="406" w:name="_Toc127151734"/>
      <w:r/>
      <w:bookmarkStart w:id="407" w:name="_Toc164608647"/>
      <w:r/>
      <w:bookmarkStart w:id="408" w:name="_Toc151193921"/>
      <w:r/>
      <w:bookmarkStart w:id="409" w:name="_Toc305158875"/>
      <w:r/>
      <w:bookmarkStart w:id="410" w:name="_Toc226309777"/>
      <w:r/>
      <w:bookmarkStart w:id="411" w:name="_Toc264969223"/>
      <w:r/>
      <w:bookmarkStart w:id="412" w:name="_Toc164229228"/>
      <w:r/>
      <w:bookmarkStart w:id="413" w:name="_Toc305158801"/>
      <w:r/>
      <w:bookmarkStart w:id="414" w:name="_Toc142311035"/>
      <w:r/>
      <w:bookmarkStart w:id="415" w:name="_Toc151193847"/>
      <w:r>
        <w:rPr>
          <w:rFonts w:hint="eastAsia" w:ascii="宋体" w:hAnsi="宋体" w:eastAsia="宋体" w:cs="宋体"/>
          <w:b/>
          <w:bCs/>
          <w:color w:val="auto"/>
          <w:szCs w:val="21"/>
          <w:highlight w:val="none"/>
        </w:rPr>
        <w:t xml:space="preserve">14.投标文件的签署</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b/>
          <w:bCs/>
          <w:color w:val="auto"/>
          <w:szCs w:val="21"/>
          <w:highlight w:val="none"/>
        </w:rPr>
        <w:t xml:space="preserve">、加盖公章</w:t>
      </w:r>
      <w:r/>
    </w:p>
    <w:p>
      <w:pPr>
        <w:ind w:firstLine="420"/>
        <w:spacing w:line="360" w:lineRule="auto"/>
        <w:rPr>
          <w:rFonts w:hint="eastAsia" w:ascii="宋体" w:hAnsi="宋体" w:eastAsia="宋体" w:cs="宋体"/>
          <w:color w:val="auto"/>
          <w:szCs w:val="21"/>
          <w:highlight w:val="none"/>
        </w:rPr>
      </w:pPr>
      <w:r/>
      <w:bookmarkStart w:id="416" w:name="_Toc150774739"/>
      <w:r/>
      <w:bookmarkStart w:id="417" w:name="_Toc150509285"/>
      <w:r/>
      <w:bookmarkStart w:id="418" w:name="_Toc226965724"/>
      <w:r/>
      <w:bookmarkStart w:id="419" w:name="_Toc151193922"/>
      <w:r/>
      <w:bookmarkStart w:id="420" w:name="_Toc150480772"/>
      <w:r/>
      <w:bookmarkStart w:id="421" w:name="_Toc151193632"/>
      <w:r/>
      <w:bookmarkStart w:id="422" w:name="_Toc151193776"/>
      <w:r/>
      <w:bookmarkStart w:id="423" w:name="_Toc226965807"/>
      <w:r/>
      <w:bookmarkStart w:id="424" w:name="_Toc226337230"/>
      <w:r/>
      <w:bookmarkStart w:id="425" w:name="_Toc265228372"/>
      <w:r/>
      <w:bookmarkStart w:id="426" w:name="_Toc264969224"/>
      <w:r/>
      <w:bookmarkStart w:id="427" w:name="_Toc151193848"/>
      <w:r/>
      <w:bookmarkStart w:id="428" w:name="_Toc305158876"/>
      <w:r/>
      <w:bookmarkStart w:id="429" w:name="_Toc195842899"/>
      <w:r/>
      <w:bookmarkStart w:id="430" w:name="_Toc305158802"/>
      <w:r/>
      <w:bookmarkStart w:id="431" w:name="_Toc142311036"/>
      <w:r/>
      <w:bookmarkStart w:id="432" w:name="_Toc520356159"/>
      <w:r/>
      <w:bookmarkStart w:id="433" w:name="_Toc151193704"/>
      <w:r/>
      <w:bookmarkStart w:id="434" w:name="_Toc151190161"/>
      <w:r/>
      <w:bookmarkStart w:id="435" w:name="_Toc150774634"/>
      <w:r/>
      <w:bookmarkStart w:id="436" w:name="_Toc226309778"/>
      <w:r/>
      <w:bookmarkStart w:id="437" w:name="_Toc127151534"/>
      <w:r>
        <w:rPr>
          <w:rFonts w:hint="eastAsia" w:ascii="宋体" w:hAnsi="宋体" w:eastAsia="宋体" w:cs="宋体"/>
          <w:color w:val="auto"/>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2"/>
        <w:spacing w:line="360" w:lineRule="auto"/>
        <w:rPr>
          <w:rFonts w:ascii="Times New Roman" w:hAnsi="Times New Roman" w:eastAsia="宋体" w:cs="Times New Roman"/>
          <w:color w:val="auto"/>
          <w:highlight w:val="none"/>
        </w:rPr>
      </w:pPr>
      <w:r>
        <w:rPr>
          <w:rFonts w:hint="eastAsia" w:ascii="宋体" w:hAnsi="宋体" w:eastAsia="宋体" w:cs="宋体"/>
          <w:b/>
          <w:bCs/>
          <w:color w:val="auto"/>
          <w:szCs w:val="21"/>
          <w:highlight w:val="none"/>
        </w:rPr>
        <w:t xml:space="preserve">14.2招标文件要求加盖公章的内容，一般通过投标文件编制工具加盖电子签章。</w:t>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rPr>
          <w:rFonts w:hint="default" w:ascii="Times New Roman" w:hAnsi="Times New Roman" w:eastAsia="宋体" w:cs="Times New Roman"/>
          <w:b/>
          <w:color w:val="auto"/>
          <w:sz w:val="28"/>
          <w:szCs w:val="20"/>
          <w:highlight w:val="none"/>
          <w:lang w:val="en-US" w:eastAsia="zh-CN" w:bidi="ar-SA"/>
        </w:rPr>
        <w:t xml:space="preserve">四   投标文件的提交</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spacing w:line="360" w:lineRule="auto"/>
        <w:tabs>
          <w:tab w:val="left" w:pos="360" w:leader="none"/>
        </w:tabs>
        <w:rPr>
          <w:rFonts w:hint="eastAsia" w:ascii="宋体" w:hAnsi="宋体" w:eastAsia="宋体" w:cs="宋体"/>
          <w:b/>
          <w:bCs/>
          <w:color w:val="auto"/>
          <w:szCs w:val="21"/>
          <w:highlight w:val="none"/>
        </w:rPr>
        <w:outlineLvl w:val="1"/>
      </w:pPr>
      <w:r/>
      <w:bookmarkStart w:id="438" w:name="_Toc150774635"/>
      <w:r/>
      <w:bookmarkStart w:id="439" w:name="_Toc151193849"/>
      <w:r/>
      <w:bookmarkStart w:id="440" w:name="_Toc150480773"/>
      <w:r/>
      <w:bookmarkStart w:id="441" w:name="_Toc305158803"/>
      <w:r/>
      <w:bookmarkStart w:id="442" w:name="_Toc142311037"/>
      <w:r/>
      <w:bookmarkStart w:id="443" w:name="_Toc149720828"/>
      <w:r/>
      <w:bookmarkStart w:id="444" w:name="_Toc226309779"/>
      <w:r/>
      <w:bookmarkStart w:id="445" w:name="_Toc151193633"/>
      <w:r/>
      <w:bookmarkStart w:id="446" w:name="_Toc164229230"/>
      <w:r/>
      <w:bookmarkStart w:id="447" w:name="_Toc151193777"/>
      <w:r/>
      <w:bookmarkStart w:id="448" w:name="_Toc164229376"/>
      <w:r/>
      <w:bookmarkStart w:id="449" w:name="_Toc226337231"/>
      <w:r/>
      <w:bookmarkStart w:id="450" w:name="_Toc150774740"/>
      <w:r/>
      <w:bookmarkStart w:id="451" w:name="_Toc151193705"/>
      <w:r/>
      <w:bookmarkStart w:id="452" w:name="_Toc265228373"/>
      <w:r/>
      <w:bookmarkStart w:id="453" w:name="_Toc151190162"/>
      <w:r/>
      <w:bookmarkStart w:id="454" w:name="_Toc127151736"/>
      <w:r/>
      <w:bookmarkStart w:id="455" w:name="_Toc150509286"/>
      <w:r/>
      <w:bookmarkStart w:id="456" w:name="_Toc305158877"/>
      <w:r/>
      <w:bookmarkStart w:id="457" w:name="_Toc520356160"/>
      <w:r/>
      <w:bookmarkStart w:id="458" w:name="_Toc195842900"/>
      <w:r/>
      <w:bookmarkStart w:id="459" w:name="_Toc226965808"/>
      <w:r/>
      <w:bookmarkStart w:id="460" w:name="_Toc226965725"/>
      <w:r/>
      <w:bookmarkStart w:id="461" w:name="_Toc164608804"/>
      <w:r/>
      <w:bookmarkStart w:id="462" w:name="_Toc164608649"/>
      <w:r/>
      <w:bookmarkStart w:id="463" w:name="_Toc151193923"/>
      <w:r/>
      <w:bookmarkStart w:id="464" w:name="_Toc164351629"/>
      <w:r/>
      <w:bookmarkStart w:id="465" w:name="_Toc127151535"/>
      <w:r/>
      <w:bookmarkStart w:id="466" w:name="_Toc264969225"/>
      <w:r/>
      <w:bookmarkStart w:id="467" w:name="_Toc127161449"/>
      <w:r>
        <w:rPr>
          <w:rFonts w:hint="eastAsia" w:ascii="宋体" w:hAnsi="宋体" w:eastAsia="宋体" w:cs="宋体"/>
          <w:b/>
          <w:bCs/>
          <w:color w:val="auto"/>
          <w:szCs w:val="21"/>
          <w:highlight w:val="none"/>
        </w:rPr>
        <w:t xml:space="preserve">15.投标文件的</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eastAsia="宋体" w:cs="宋体"/>
          <w:b/>
          <w:bCs/>
          <w:color w:val="auto"/>
          <w:szCs w:val="21"/>
          <w:highlight w:val="none"/>
        </w:rPr>
        <w:t xml:space="preserve">提交</w:t>
      </w:r>
      <w:r/>
    </w:p>
    <w:p>
      <w:pPr>
        <w:ind w:firstLine="420"/>
        <w:spacing w:line="360" w:lineRule="auto"/>
        <w:tabs>
          <w:tab w:val="left" w:pos="360"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15.1本项目使用“苏采云”政府采购一体化平台。投标人根据招标文件及“苏采云”政府采购一体化平台供应商操作手册要求编制、生成并提交电子投标文件。 </w:t>
      </w:r>
      <w:r/>
    </w:p>
    <w:p>
      <w:pPr>
        <w:ind w:firstLine="420"/>
        <w:spacing w:line="360" w:lineRule="auto"/>
        <w:tabs>
          <w:tab w:val="left" w:pos="1080" w:leader="none"/>
          <w:tab w:val="left" w:pos="201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15.2采购人及采购代理机构拒绝接受通过“苏采云”政府采购一体化平台以外任何形式提交的投标文件。</w:t>
      </w:r>
      <w:r/>
    </w:p>
    <w:p>
      <w:pPr>
        <w:spacing w:line="360" w:lineRule="auto"/>
        <w:tabs>
          <w:tab w:val="left" w:pos="360" w:leader="none"/>
        </w:tabs>
        <w:rPr>
          <w:rFonts w:ascii="Times New Roman" w:hAnsi="Times New Roman" w:eastAsia="宋体" w:cs="Times New Roman"/>
          <w:b/>
          <w:bCs/>
          <w:color w:val="auto"/>
          <w:szCs w:val="21"/>
          <w:highlight w:val="none"/>
        </w:rPr>
        <w:outlineLvl w:val="1"/>
      </w:pPr>
      <w:r/>
      <w:bookmarkStart w:id="468" w:name="_Toc164608805"/>
      <w:r/>
      <w:bookmarkStart w:id="469" w:name="_Toc264969226"/>
      <w:r/>
      <w:bookmarkStart w:id="470" w:name="_Toc142311038"/>
      <w:r/>
      <w:bookmarkStart w:id="471" w:name="_Toc226337232"/>
      <w:r/>
      <w:bookmarkStart w:id="472" w:name="_Toc151193634"/>
      <w:r/>
      <w:bookmarkStart w:id="473" w:name="_Toc151193850"/>
      <w:r/>
      <w:bookmarkStart w:id="474" w:name="_Toc127151536"/>
      <w:r/>
      <w:bookmarkStart w:id="475" w:name="_Toc149720829"/>
      <w:r/>
      <w:bookmarkStart w:id="476" w:name="_Toc226965726"/>
      <w:r/>
      <w:bookmarkStart w:id="477" w:name="_Toc151193778"/>
      <w:r/>
      <w:bookmarkStart w:id="478" w:name="_Toc305158878"/>
      <w:r/>
      <w:bookmarkStart w:id="479" w:name="_Toc164229231"/>
      <w:r/>
      <w:bookmarkStart w:id="480" w:name="_Toc150774741"/>
      <w:r/>
      <w:bookmarkStart w:id="481" w:name="_Toc150509287"/>
      <w:r/>
      <w:bookmarkStart w:id="482" w:name="_Toc195842901"/>
      <w:r/>
      <w:bookmarkStart w:id="483" w:name="_Toc164351630"/>
      <w:r/>
      <w:bookmarkStart w:id="484" w:name="_Toc226965809"/>
      <w:r/>
      <w:bookmarkStart w:id="485" w:name="_Toc164229377"/>
      <w:r/>
      <w:bookmarkStart w:id="486" w:name="_Toc151190163"/>
      <w:r/>
      <w:bookmarkStart w:id="487" w:name="_Toc226309780"/>
      <w:r/>
      <w:bookmarkStart w:id="488" w:name="_Toc127161450"/>
      <w:r/>
      <w:bookmarkStart w:id="489" w:name="_Toc520356161"/>
      <w:r/>
      <w:bookmarkStart w:id="490" w:name="_Toc150480774"/>
      <w:r/>
      <w:bookmarkStart w:id="491" w:name="_Toc265228374"/>
      <w:r/>
      <w:bookmarkStart w:id="492" w:name="_Toc151193706"/>
      <w:r/>
      <w:bookmarkStart w:id="493" w:name="_Toc127151737"/>
      <w:r/>
      <w:bookmarkStart w:id="494" w:name="_Toc150774636"/>
      <w:r/>
      <w:bookmarkStart w:id="495" w:name="_Toc305158804"/>
      <w:r/>
      <w:bookmarkStart w:id="496" w:name="_Toc164608650"/>
      <w:r/>
      <w:bookmarkStart w:id="497" w:name="_Toc151193924"/>
      <w:r>
        <w:rPr>
          <w:rFonts w:hint="eastAsia" w:ascii="Times New Roman" w:hAnsi="Times New Roman" w:eastAsia="宋体" w:cs="Times New Roman"/>
          <w:b/>
          <w:bCs/>
          <w:color w:val="auto"/>
          <w:szCs w:val="21"/>
          <w:highlight w:val="none"/>
        </w:rPr>
        <w:t xml:space="preserve">16.</w:t>
      </w:r>
      <w:r>
        <w:rPr>
          <w:rFonts w:ascii="Times New Roman" w:hAnsi="Times New Roman" w:eastAsia="宋体" w:cs="Times New Roman"/>
          <w:b/>
          <w:bCs/>
          <w:color w:val="auto"/>
          <w:szCs w:val="21"/>
          <w:highlight w:val="none"/>
        </w:rPr>
        <w:t xml:space="preserve">投标截止</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ascii="Times New Roman" w:hAnsi="Times New Roman" w:eastAsia="宋体" w:cs="Times New Roman"/>
          <w:b/>
          <w:bCs/>
          <w:color w:val="auto"/>
          <w:szCs w:val="21"/>
          <w:highlight w:val="none"/>
        </w:rPr>
        <w:t xml:space="preserve">时间</w:t>
      </w:r>
      <w:r/>
    </w:p>
    <w:p>
      <w:pPr>
        <w:ind w:firstLine="420"/>
        <w:spacing w:line="360" w:lineRule="auto"/>
        <w:tabs>
          <w:tab w:val="left" w:pos="360" w:leader="none"/>
        </w:tabs>
        <w:rPr>
          <w:rFonts w:hint="eastAsia" w:ascii="宋体" w:hAnsi="宋体" w:eastAsia="宋体" w:cs="宋体"/>
          <w:color w:val="auto"/>
          <w:szCs w:val="21"/>
          <w:highlight w:val="none"/>
        </w:rPr>
        <w:outlineLvl w:val="1"/>
      </w:pPr>
      <w:r/>
      <w:bookmarkStart w:id="498" w:name="_Toc151190164"/>
      <w:r/>
      <w:bookmarkStart w:id="499" w:name="_Toc305158805"/>
      <w:r/>
      <w:bookmarkStart w:id="500" w:name="_Toc150774637"/>
      <w:r/>
      <w:bookmarkStart w:id="501" w:name="_Toc151193851"/>
      <w:r/>
      <w:bookmarkStart w:id="502" w:name="_Toc150509288"/>
      <w:r/>
      <w:bookmarkStart w:id="503" w:name="_Toc164608806"/>
      <w:r/>
      <w:bookmarkStart w:id="504" w:name="_Toc127151537"/>
      <w:r/>
      <w:bookmarkStart w:id="505" w:name="_Toc264969227"/>
      <w:r/>
      <w:bookmarkStart w:id="506" w:name="_Toc164229232"/>
      <w:r/>
      <w:bookmarkStart w:id="507" w:name="_Toc226965810"/>
      <w:r/>
      <w:bookmarkStart w:id="508" w:name="_Toc150480775"/>
      <w:r/>
      <w:bookmarkStart w:id="509" w:name="_Toc150774742"/>
      <w:r/>
      <w:bookmarkStart w:id="510" w:name="_Toc164229378"/>
      <w:r/>
      <w:bookmarkStart w:id="511" w:name="_Toc149720830"/>
      <w:r/>
      <w:bookmarkStart w:id="512" w:name="_Toc151193779"/>
      <w:r/>
      <w:bookmarkStart w:id="513" w:name="_Toc226965727"/>
      <w:r/>
      <w:bookmarkStart w:id="514" w:name="_Toc226309781"/>
      <w:r/>
      <w:bookmarkStart w:id="515" w:name="_Toc142311039"/>
      <w:r/>
      <w:bookmarkStart w:id="516" w:name="_Toc226337233"/>
      <w:r/>
      <w:bookmarkStart w:id="517" w:name="_Toc520356162"/>
      <w:r/>
      <w:bookmarkStart w:id="518" w:name="_Toc151193925"/>
      <w:r/>
      <w:bookmarkStart w:id="519" w:name="_Toc151193707"/>
      <w:r/>
      <w:bookmarkStart w:id="520" w:name="_Toc164351631"/>
      <w:r/>
      <w:bookmarkStart w:id="521" w:name="_Toc305158879"/>
      <w:r/>
      <w:bookmarkStart w:id="522" w:name="_Toc164608651"/>
      <w:r/>
      <w:bookmarkStart w:id="523" w:name="_Toc151193635"/>
      <w:r/>
      <w:bookmarkStart w:id="524" w:name="_Toc127161451"/>
      <w:r/>
      <w:bookmarkStart w:id="525" w:name="_Toc195842902"/>
      <w:r/>
      <w:bookmarkStart w:id="526" w:name="_Toc127151738"/>
      <w:r/>
      <w:bookmarkStart w:id="527" w:name="_Toc265228375"/>
      <w:r>
        <w:rPr>
          <w:rFonts w:hint="eastAsia" w:ascii="宋体" w:hAnsi="宋体" w:eastAsia="宋体" w:cs="宋体"/>
          <w:color w:val="auto"/>
          <w:szCs w:val="21"/>
          <w:highlight w:val="none"/>
        </w:rPr>
        <w:t xml:space="preserve">16.1投标人应在招标文件要求提交投标文件截止时间前，将电子投标文件提交至“苏采云”政府采购一体化平台。</w:t>
      </w:r>
      <w:r/>
    </w:p>
    <w:p>
      <w:pPr>
        <w:spacing w:line="360" w:lineRule="auto"/>
        <w:tabs>
          <w:tab w:val="left" w:pos="360" w:leader="none"/>
        </w:tabs>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17.投标文件的修改与撤回</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17.1投标截止时间前，投标人可以通过“苏采云”政府采购一体化平台对所提交的投标文件进行补充、修改或者撤回。</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17.2投标人对投标文件的补充、修改的内容应当按照招标文件要求签署、加盖公章，作为投标文件的组成部分。</w:t>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bookmarkStart w:id="528" w:name="_Toc142311040"/>
      <w:r/>
      <w:bookmarkStart w:id="529" w:name="_Toc150774743"/>
      <w:r/>
      <w:bookmarkStart w:id="530" w:name="_Toc151193708"/>
      <w:r/>
      <w:bookmarkStart w:id="531" w:name="_Toc151193636"/>
      <w:r/>
      <w:bookmarkStart w:id="532" w:name="_Toc127151538"/>
      <w:r/>
      <w:bookmarkStart w:id="533" w:name="_Toc151193852"/>
      <w:r/>
      <w:bookmarkStart w:id="534" w:name="_Toc195842903"/>
      <w:r/>
      <w:bookmarkStart w:id="535" w:name="_Toc264969228"/>
      <w:r/>
      <w:bookmarkStart w:id="536" w:name="_Toc151190165"/>
      <w:r/>
      <w:bookmarkStart w:id="537" w:name="_Toc151193926"/>
      <w:r/>
      <w:bookmarkStart w:id="538" w:name="_Toc226965811"/>
      <w:r/>
      <w:bookmarkStart w:id="539" w:name="_Toc226965728"/>
      <w:r/>
      <w:bookmarkStart w:id="540" w:name="_Toc150509289"/>
      <w:r/>
      <w:bookmarkStart w:id="541" w:name="_Toc305158806"/>
      <w:r/>
      <w:bookmarkStart w:id="542" w:name="_Toc226309782"/>
      <w:r/>
      <w:bookmarkStart w:id="543" w:name="_Toc265228376"/>
      <w:r/>
      <w:bookmarkStart w:id="544" w:name="_Toc305158880"/>
      <w:r/>
      <w:bookmarkStart w:id="545" w:name="_Toc150480776"/>
      <w:r/>
      <w:bookmarkStart w:id="546" w:name="_Toc520356163"/>
      <w:r/>
      <w:bookmarkStart w:id="547" w:name="_Toc150774638"/>
      <w:r/>
      <w:bookmarkStart w:id="548" w:name="_Toc226337234"/>
      <w:r/>
      <w:bookmarkStart w:id="549" w:name="_Toc151193780"/>
      <w:r>
        <w:rPr>
          <w:rFonts w:hint="default" w:ascii="Times New Roman" w:hAnsi="Times New Roman" w:eastAsia="宋体" w:cs="Times New Roman"/>
          <w:b/>
          <w:color w:val="auto"/>
          <w:sz w:val="28"/>
          <w:szCs w:val="20"/>
          <w:highlight w:val="none"/>
          <w:lang w:val="en-US" w:eastAsia="zh-CN" w:bidi="ar-SA"/>
        </w:rPr>
        <w:t xml:space="preserve">五   开标、资格审查及评标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spacing w:line="360" w:lineRule="auto"/>
        <w:rPr>
          <w:rFonts w:hint="eastAsia" w:ascii="宋体" w:hAnsi="宋体" w:eastAsia="宋体" w:cs="宋体"/>
          <w:b/>
          <w:bCs/>
          <w:color w:val="auto"/>
          <w:szCs w:val="21"/>
          <w:highlight w:val="none"/>
        </w:rPr>
      </w:pPr>
      <w:r/>
      <w:bookmarkStart w:id="550" w:name="_Toc520356169"/>
      <w:r>
        <w:rPr>
          <w:rFonts w:hint="eastAsia" w:ascii="宋体" w:hAnsi="宋体" w:eastAsia="宋体" w:cs="宋体"/>
          <w:b/>
          <w:bCs/>
          <w:color w:val="auto"/>
          <w:szCs w:val="21"/>
          <w:highlight w:val="none"/>
        </w:rPr>
        <w:t xml:space="preserve">18.开标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18.1采购人或采购代理机构将按招标文件的规定，在投标截止时间的同一时间和招标文件预先确定的地点组织开标。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18.5投标人不足3家的，不予开标。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    1)平台系统发生故障而无法登录访问的；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2)平台系统应用或数据库出现错误，不能进行正常操作的；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3)平台系统发现严重安全漏洞，有潜在泄密危险的；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4)病毒发作导致平台系统不能进行正常操作的；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5)其他无法保证本次采购活动的公平、公正和安全的情况。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19.资格审查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19.1见第三章《资格审查》。</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20.评标委员会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20.1评标委员会根据政府采购有关规定和本次招标采购项目的特点进行组建，并负责具体评标事务，独立履行职责。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21.评标程序、评标方法和评标标准</w:t>
      </w:r>
      <w:r/>
    </w:p>
    <w:p>
      <w:pPr>
        <w:ind w:firstLine="420"/>
        <w:spacing w:line="360" w:lineRule="auto"/>
        <w:rPr>
          <w:rFonts w:ascii="Times New Roman" w:hAnsi="Times New Roman" w:eastAsia="宋体" w:cs="Times New Roman"/>
          <w:color w:val="auto"/>
          <w:sz w:val="24"/>
          <w:highlight w:val="none"/>
        </w:rPr>
      </w:pPr>
      <w:r>
        <w:rPr>
          <w:rFonts w:hint="eastAsia" w:ascii="宋体" w:hAnsi="宋体" w:eastAsia="宋体" w:cs="宋体"/>
          <w:color w:val="auto"/>
          <w:szCs w:val="21"/>
          <w:highlight w:val="none"/>
        </w:rPr>
        <w:t xml:space="preserve">21.1见第四章《评标程序、评标方法和评标标准》。</w:t>
      </w:r>
      <w:r/>
    </w:p>
    <w:p>
      <w:pPr>
        <w:jc w:val="center"/>
        <w:keepLines/>
        <w:keepNext/>
        <w:spacing w:before="0" w:line="360" w:lineRule="auto"/>
        <w:widowControl w:val="off"/>
        <w:rPr>
          <w:rFonts w:hint="default" w:ascii="Times New Roman" w:hAnsi="Times New Roman" w:eastAsia="宋体" w:cs="Times New Roman"/>
          <w:b/>
          <w:color w:val="auto"/>
          <w:sz w:val="28"/>
          <w:szCs w:val="20"/>
          <w:highlight w:val="none"/>
          <w:lang w:val="en-US" w:eastAsia="zh-CN" w:bidi="ar-SA"/>
        </w:rPr>
        <w:outlineLvl w:val="1"/>
      </w:pPr>
      <w:r/>
      <w:bookmarkStart w:id="551" w:name="_Toc151193859"/>
      <w:r/>
      <w:bookmarkStart w:id="552" w:name="_Toc226309789"/>
      <w:r/>
      <w:bookmarkStart w:id="553" w:name="_Toc127151545"/>
      <w:r/>
      <w:bookmarkStart w:id="554" w:name="_Toc305158813"/>
      <w:r/>
      <w:bookmarkStart w:id="555" w:name="_Toc150480783"/>
      <w:r/>
      <w:bookmarkStart w:id="556" w:name="_Toc265228383"/>
      <w:r/>
      <w:bookmarkStart w:id="557" w:name="_Toc264969235"/>
      <w:r/>
      <w:bookmarkStart w:id="558" w:name="_Toc151193933"/>
      <w:r/>
      <w:bookmarkStart w:id="559" w:name="_Toc151193787"/>
      <w:r/>
      <w:bookmarkStart w:id="560" w:name="_Toc226965818"/>
      <w:r/>
      <w:bookmarkStart w:id="561" w:name="_Toc150774645"/>
      <w:r/>
      <w:bookmarkStart w:id="562" w:name="_Toc151190172"/>
      <w:r/>
      <w:bookmarkStart w:id="563" w:name="_Toc195842910"/>
      <w:r/>
      <w:bookmarkStart w:id="564" w:name="_Toc305158887"/>
      <w:r/>
      <w:bookmarkStart w:id="565" w:name="_Toc226337241"/>
      <w:r/>
      <w:bookmarkStart w:id="566" w:name="_Toc151193643"/>
      <w:r/>
      <w:bookmarkStart w:id="567" w:name="_Toc150774750"/>
      <w:r/>
      <w:bookmarkStart w:id="568" w:name="_Toc151193715"/>
      <w:r/>
      <w:bookmarkStart w:id="569" w:name="_Toc150509296"/>
      <w:r/>
      <w:bookmarkStart w:id="570" w:name="_Toc226965735"/>
      <w:r/>
      <w:bookmarkStart w:id="571" w:name="_Toc142311047"/>
      <w:r>
        <w:rPr>
          <w:rFonts w:hint="default" w:ascii="Times New Roman" w:hAnsi="Times New Roman" w:eastAsia="宋体" w:cs="Times New Roman"/>
          <w:b/>
          <w:color w:val="auto"/>
          <w:sz w:val="28"/>
          <w:szCs w:val="20"/>
          <w:highlight w:val="none"/>
          <w:lang w:val="en-US" w:eastAsia="zh-CN" w:bidi="ar-SA"/>
        </w:rPr>
        <w:t xml:space="preserve">六   </w:t>
      </w:r>
      <w:bookmarkEnd w:id="550"/>
      <w:r>
        <w:rPr>
          <w:rFonts w:hint="default" w:ascii="Times New Roman" w:hAnsi="Times New Roman" w:eastAsia="宋体" w:cs="Times New Roman"/>
          <w:b/>
          <w:color w:val="auto"/>
          <w:sz w:val="28"/>
          <w:szCs w:val="20"/>
          <w:highlight w:val="none"/>
          <w:lang w:val="en-US" w:eastAsia="zh-CN" w:bidi="ar-SA"/>
        </w:rPr>
        <w:t xml:space="preserve">确定中标</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Start w:id="572" w:name="_Toc164229388"/>
      <w:r/>
      <w:bookmarkStart w:id="573" w:name="_Toc264969237"/>
      <w:r/>
      <w:bookmarkStart w:id="574" w:name="_Toc151193789"/>
      <w:r/>
      <w:bookmarkStart w:id="575" w:name="_Toc151193717"/>
      <w:r/>
      <w:bookmarkStart w:id="576" w:name="_Toc127161461"/>
      <w:r/>
      <w:bookmarkStart w:id="577" w:name="_Toc226965737"/>
      <w:r/>
      <w:bookmarkStart w:id="578" w:name="_Toc226309791"/>
      <w:r/>
      <w:bookmarkStart w:id="579" w:name="_Toc150774647"/>
      <w:r/>
      <w:bookmarkStart w:id="580" w:name="_Toc164608816"/>
      <w:r/>
      <w:bookmarkStart w:id="581" w:name="_Toc151193861"/>
      <w:r/>
      <w:bookmarkStart w:id="582" w:name="_Toc142311049"/>
      <w:r/>
      <w:bookmarkStart w:id="583" w:name="_Toc164608661"/>
      <w:r/>
      <w:bookmarkStart w:id="584" w:name="_Toc150480785"/>
      <w:r/>
      <w:bookmarkStart w:id="585" w:name="_Toc305158815"/>
      <w:r/>
      <w:bookmarkStart w:id="586" w:name="_Toc305158889"/>
      <w:r/>
      <w:bookmarkStart w:id="587" w:name="_Toc226337243"/>
      <w:r/>
      <w:bookmarkStart w:id="588" w:name="_Toc151190174"/>
      <w:r/>
      <w:bookmarkStart w:id="589" w:name="_Toc127151748"/>
      <w:r/>
      <w:bookmarkStart w:id="590" w:name="_Toc164351641"/>
      <w:r/>
      <w:bookmarkStart w:id="591" w:name="_Toc265228385"/>
      <w:r/>
      <w:bookmarkStart w:id="592" w:name="_Toc127151547"/>
      <w:r/>
      <w:bookmarkStart w:id="593" w:name="_Toc164229242"/>
      <w:r/>
      <w:bookmarkStart w:id="594" w:name="_Toc195842912"/>
      <w:r/>
      <w:bookmarkStart w:id="595" w:name="_Toc150509298"/>
      <w:r/>
      <w:bookmarkStart w:id="596" w:name="_Toc151193645"/>
      <w:r/>
      <w:bookmarkStart w:id="597" w:name="_Toc149720840"/>
      <w:r/>
      <w:bookmarkStart w:id="598" w:name="_Toc150774752"/>
      <w:r/>
      <w:bookmarkStart w:id="599" w:name="_Toc226965820"/>
      <w:r/>
      <w:bookmarkStart w:id="600" w:name="_Toc151193935"/>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22.1采购人将在评标报告确定的中标候选人名单中按顺序确定中标人，中标候选人并列的，由采购人依法确定。</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23.中标公告与中标通知书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23.1采购人或采购代理机构自中标人确定之日起2个工作日内，在</w:t>
      </w:r>
      <w:r>
        <w:rPr>
          <w:rFonts w:hint="eastAsia" w:ascii="宋体" w:hAnsi="宋体" w:eastAsia="宋体" w:cs="宋体"/>
          <w:b/>
          <w:bCs/>
          <w:color w:val="auto"/>
          <w:szCs w:val="21"/>
          <w:highlight w:val="none"/>
        </w:rPr>
        <w:t xml:space="preserve">常州市政府采购网、</w:t>
      </w:r>
      <w:r>
        <w:rPr>
          <w:rFonts w:hint="eastAsia" w:ascii="宋体" w:hAnsi="宋体" w:eastAsia="宋体" w:cs="宋体"/>
          <w:b/>
          <w:bCs/>
          <w:color w:val="auto"/>
          <w:szCs w:val="21"/>
          <w:highlight w:val="none"/>
          <w:lang w:eastAsia="zh-CN"/>
        </w:rPr>
        <w:t xml:space="preserve">江苏正誉项目管理有限公司</w:t>
      </w:r>
      <w:r>
        <w:rPr>
          <w:rFonts w:hint="eastAsia" w:ascii="宋体" w:hAnsi="宋体" w:eastAsia="宋体" w:cs="宋体"/>
          <w:b/>
          <w:bCs/>
          <w:color w:val="auto"/>
          <w:szCs w:val="21"/>
          <w:highlight w:val="none"/>
        </w:rPr>
        <w:t xml:space="preserve">网站</w:t>
      </w:r>
      <w:r>
        <w:rPr>
          <w:rFonts w:hint="eastAsia" w:ascii="宋体" w:hAnsi="宋体" w:eastAsia="宋体" w:cs="宋体"/>
          <w:color w:val="auto"/>
          <w:szCs w:val="21"/>
          <w:highlight w:val="none"/>
        </w:rPr>
        <w:t xml:space="preserve">公告中标结果，同时向中标人发出中标通知书，中标公告期限为1个工作日。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23.2中标通知书对采购人和中标人均具有法律效力。中标通知书发出后，采购人改变中标结果的，或者中标人放弃中标项目的，应当依法承担法律责任。</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24.废标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24.1在招标采购中，出现下列情形之一的，应予废标：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24.1.1符合专业条件的供应商或者对招标文件作实质响应的供应商不足三家的；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24.1.2出现影响采购公正的违法、违规行为的；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24.1.3投标人的报价均超过了采购预算，采购人不能支付的；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24.1.4因重大变故，采购任务取消的。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24.1.5平台系统出现序号18.8的所述情形，情况严重且影响采购活动公平、公正性的。</w:t>
      </w:r>
      <w:r/>
    </w:p>
    <w:p>
      <w:pPr>
        <w:pStyle w:val="1371"/>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24.2废标后，采购人将废标理由通知所有投标人。</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25.签订合同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25.1中标人、采购人应当自中标通知书发出之日起30日内，按照招标文件和中标人投标文件的规定签订书面合同（</w:t>
      </w:r>
      <w:r>
        <w:rPr>
          <w:rFonts w:hint="eastAsia" w:ascii="宋体" w:hAnsi="宋体" w:eastAsia="宋体" w:cs="宋体"/>
          <w:b/>
          <w:bCs/>
          <w:color w:val="auto"/>
          <w:szCs w:val="21"/>
          <w:highlight w:val="none"/>
        </w:rPr>
        <w:t xml:space="preserve">同时在“苏采云”政府采购一体化平台中签订线上合同</w:t>
      </w:r>
      <w:r>
        <w:rPr>
          <w:rFonts w:hint="eastAsia" w:ascii="宋体" w:hAnsi="宋体" w:eastAsia="宋体" w:cs="宋体"/>
          <w:color w:val="auto"/>
          <w:szCs w:val="21"/>
          <w:highlight w:val="none"/>
        </w:rPr>
        <w:t xml:space="preserve">）。所签订的合同不得对招标文件确定的事项和中标人投标文件作实质性修改。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25.3联合体中标的，联合体各方应当共同与采购人签订合同，就中标项目向采购人承担连带责任。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25.4政府采购合同不能转包。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color w:val="auto"/>
          <w:szCs w:val="21"/>
          <w:highlight w:val="none"/>
        </w:rPr>
        <w:t xml:space="preserve">投标无效</w:t>
      </w:r>
      <w:r>
        <w:rPr>
          <w:rFonts w:hint="eastAsia" w:ascii="宋体" w:hAnsi="宋体" w:eastAsia="宋体" w:cs="宋体"/>
          <w:color w:val="auto"/>
          <w:szCs w:val="21"/>
          <w:highlight w:val="none"/>
        </w:rPr>
        <w:t xml:space="preserve">。中标人就采购项目和分包项目向采购人负责，分包供应商就分包项目承担责任。</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26.询问与质疑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26.1询问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26.1.1投标人对政府采购活动事项有疑问的，可依法提出询问，并按《投标人须知资料表》载明的形式送达采购人或采购代理机构。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26.1.2采购人或采购代理机构对投标人依法提出的询问，在3个工作日内作出答复，但答复的内容不得涉及商业秘密。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26.2.3质疑函须使用财政部制定的范本文件。（下载网址：http://gks.mof.gov.cn/ztztz/zhengfucaigouguanli/201802/t20180201_2804589.htm）</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26.3接收询问和质疑的联系部门、联系电话和通讯地址见《投标人须知资料表》。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27.代理费</w:t>
      </w:r>
      <w:r/>
    </w:p>
    <w:p>
      <w:pPr>
        <w:ind w:firstLine="420"/>
        <w:spacing w:line="360" w:lineRule="auto"/>
        <w:tabs>
          <w:tab w:val="left" w:pos="360" w:leader="none"/>
          <w:tab w:val="left" w:pos="1080" w:leader="none"/>
        </w:tabs>
        <w:rPr>
          <w:rFonts w:ascii="Times New Roman" w:hAnsi="Times New Roman" w:eastAsia="宋体" w:cs="Times New Roman"/>
          <w:color w:val="auto"/>
          <w:sz w:val="24"/>
          <w:highlight w:val="none"/>
        </w:rPr>
      </w:pPr>
      <w:r>
        <w:rPr>
          <w:rFonts w:hint="eastAsia" w:ascii="宋体" w:hAnsi="宋体" w:eastAsia="宋体" w:cs="宋体"/>
          <w:color w:val="auto"/>
          <w:szCs w:val="21"/>
          <w:highlight w:val="none"/>
        </w:rPr>
        <w:t xml:space="preserve">27.1收费对象、收费标准及缴纳时间见《投标人须知资料表》。由中标人支付的，中标人须一次性向采购代理机构缴纳代理费，投标报价应包含代理费用。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28.纸质投标文件 </w:t>
      </w:r>
      <w:r/>
    </w:p>
    <w:p>
      <w:pPr>
        <w:ind w:firstLine="422"/>
        <w:spacing w:line="360" w:lineRule="auto"/>
        <w:tabs>
          <w:tab w:val="left" w:pos="360" w:leader="none"/>
          <w:tab w:val="left" w:pos="1080"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28.1 中标人在签订合同前向代理机构提供正本1套、副本</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套纸质投标文件，在每一份纸质投标文件上要明确注明“正本” 或“副本”字样。</w:t>
      </w:r>
      <w:r/>
    </w:p>
    <w:p>
      <w:pPr>
        <w:ind w:firstLine="420"/>
        <w:spacing w:line="360" w:lineRule="auto"/>
        <w:tabs>
          <w:tab w:val="left" w:pos="360" w:leader="none"/>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 纸质投标文件需与“苏采云”政府采购一体化平台的投标文件一致，中标人应按照要求签字、盖章，副本可通过正本复印。</w:t>
      </w:r>
      <w:r/>
    </w:p>
    <w:p>
      <w:pPr>
        <w:ind w:firstLine="420"/>
        <w:spacing w:line="360" w:lineRule="auto"/>
        <w:tabs>
          <w:tab w:val="left" w:pos="360" w:leader="none"/>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28.3 招标文件所表述（指定）的公章是指法定名称章，不包括合同专用章、业务专用章等印章；盖章是指加盖鲜章。</w:t>
      </w:r>
      <w:r/>
    </w:p>
    <w:p>
      <w:pPr>
        <w:ind w:left="360"/>
        <w:spacing w:line="360" w:lineRule="auto"/>
        <w:tabs>
          <w:tab w:val="left" w:pos="36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bookmarkStart w:id="601" w:name="_Toc127151554"/>
      <w:r/>
      <w:bookmarkStart w:id="602" w:name="_Toc353873664"/>
      <w:r/>
      <w:bookmarkStart w:id="603" w:name="_Toc226337250"/>
      <w:r/>
      <w:bookmarkStart w:id="604" w:name="_Toc265228392"/>
      <w:r/>
      <w:bookmarkStart w:id="605" w:name="_Toc305158896"/>
      <w:r/>
      <w:bookmarkStart w:id="606" w:name="_Toc353825544"/>
      <w:r/>
      <w:bookmarkStart w:id="607" w:name="_Toc353873934"/>
      <w:r/>
      <w:bookmarkStart w:id="608" w:name="_Toc150774759"/>
      <w:r/>
      <w:bookmarkStart w:id="609" w:name="_Toc226965827"/>
      <w:r/>
      <w:bookmarkStart w:id="610" w:name="_Toc305158822"/>
      <w:r/>
      <w:bookmarkStart w:id="611" w:name="_Toc150480792"/>
      <w:r/>
      <w:bookmarkStart w:id="612" w:name="_Toc142311056"/>
      <w:r/>
      <w:bookmarkStart w:id="613" w:name="_Toc264969244"/>
      <w:r/>
      <w:bookmarkStart w:id="614" w:name="_Toc99301421"/>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rFonts w:hint="eastAsia" w:ascii="宋体" w:hAnsi="宋体" w:eastAsia="宋体" w:cs="宋体"/>
          <w:b/>
          <w:color w:val="auto"/>
          <w:sz w:val="36"/>
          <w:szCs w:val="36"/>
          <w:highlight w:val="none"/>
        </w:rPr>
        <w:t xml:space="preserve">资格审查</w:t>
      </w:r>
      <w:bookmarkEnd w:id="614"/>
      <w:r/>
      <w:bookmarkStart w:id="615" w:name="_Toc487900382"/>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bookmarkStart w:id="616" w:name="_Toc99301422"/>
      <w:r>
        <w:rPr>
          <w:rFonts w:hint="eastAsia" w:ascii="宋体" w:hAnsi="宋体" w:eastAsia="宋体" w:cs="宋体"/>
          <w:b/>
          <w:color w:val="auto"/>
          <w:sz w:val="24"/>
          <w:highlight w:val="none"/>
        </w:rPr>
        <w:t xml:space="preserve">一、资格审查程序</w:t>
      </w:r>
      <w:bookmarkEnd w:id="616"/>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投标人《资格证明文件》有任何一项不符合《资格审查要求》的，资格审查不合格，其</w:t>
      </w:r>
      <w:r>
        <w:rPr>
          <w:rFonts w:hint="eastAsia" w:ascii="宋体" w:hAnsi="宋体" w:eastAsia="宋体" w:cs="宋体"/>
          <w:b/>
          <w:color w:val="auto"/>
          <w:szCs w:val="21"/>
          <w:highlight w:val="none"/>
        </w:rPr>
        <w:t xml:space="preserve">投标无效</w:t>
      </w:r>
      <w:r>
        <w:rPr>
          <w:rFonts w:hint="eastAsia" w:ascii="宋体" w:hAnsi="宋体" w:eastAsia="宋体" w:cs="宋体"/>
          <w:color w:val="auto"/>
          <w:szCs w:val="21"/>
          <w:highlight w:val="none"/>
        </w:rPr>
        <w:t xml:space="preserve">。</w:t>
      </w:r>
      <w:r/>
    </w:p>
    <w:p>
      <w:pPr>
        <w:numPr>
          <w:ilvl w:val="0"/>
          <w:numId w:val="9"/>
        </w:numPr>
        <w:ind w:left="426" w:hanging="426"/>
        <w:spacing w:line="360" w:lineRule="auto"/>
        <w:tabs>
          <w:tab w:val="left" w:pos="426" w:leader="none"/>
          <w:tab w:val="left" w:pos="851" w:leader="none"/>
        </w:tabs>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资格审查合格的投标人不足3家的，不进行评标。</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二、资格审查要求</w:t>
      </w:r>
      <w:r/>
    </w:p>
    <w:tbl>
      <w:tblPr>
        <w:tblStyle w:val="93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36"/>
        <w:gridCol w:w="4821"/>
        <w:gridCol w:w="1577"/>
      </w:tblGrid>
      <w:tr>
        <w:trPr>
          <w:cantSplit/>
          <w:trHeight w:val="468"/>
          <w:tblHeader/>
        </w:trPr>
        <w:tc>
          <w:tcPr>
            <w:tcW w:w="846"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bookmarkStart w:id="617" w:name="_Hlt487972895"/>
            <w:r/>
            <w:bookmarkEnd w:id="617"/>
            <w:r>
              <w:rPr>
                <w:rFonts w:hint="eastAsia" w:ascii="宋体" w:hAnsi="宋体" w:eastAsia="宋体" w:cs="宋体"/>
                <w:b/>
                <w:color w:val="auto"/>
                <w:sz w:val="22"/>
                <w:szCs w:val="22"/>
                <w:highlight w:val="none"/>
              </w:rPr>
              <w:t xml:space="preserve">序号</w:t>
            </w:r>
            <w:r/>
          </w:p>
        </w:tc>
        <w:tc>
          <w:tcPr>
            <w:tcW w:w="1802"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审查因素</w:t>
            </w:r>
            <w:r/>
          </w:p>
        </w:tc>
        <w:tc>
          <w:tcPr>
            <w:tcW w:w="5003"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格式要求</w:t>
            </w:r>
            <w:r/>
          </w:p>
        </w:tc>
      </w:tr>
      <w:tr>
        <w:trPr>
          <w:cantSplit/>
          <w:trHeight w:val="1553"/>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满足《中华人民共和国政府采购法》第二十二条规定及法律法规的其他规定</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具体规定见第一章《投标邀请》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685"/>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投标人资格声明函</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提供了符合招标文件要求的《投标人资格声明函》。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投标人信用记录</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2"/>
                <w:szCs w:val="22"/>
                <w:highlight w:val="none"/>
              </w:rPr>
              <w:t xml:space="preserve">投标无效</w:t>
            </w:r>
            <w:r>
              <w:rPr>
                <w:rFonts w:hint="eastAsia" w:ascii="宋体" w:hAnsi="宋体" w:eastAsia="宋体" w:cs="宋体"/>
                <w:color w:val="auto"/>
                <w:sz w:val="22"/>
                <w:szCs w:val="22"/>
                <w:highlight w:val="none"/>
              </w:rPr>
              <w:t xml:space="preserve">。联合体形式投标的，联合体成员存在不良信用记录，视同联合体存在不良信用记录。</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无须投标人提供，由采购人查询。</w:t>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落实政府采购政策需满足的资格要求</w:t>
            </w:r>
            <w:r/>
          </w:p>
        </w:tc>
        <w:tc>
          <w:tcPr>
            <w:tcW w:w="5003"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具体要求见第一章《投标邀请》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4482"/>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中小企业声明函</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如本项目（包）是专门面向中小企业采购的，必须提供，格式见《投标文件格式》</w:t>
            </w:r>
            <w:r/>
          </w:p>
        </w:tc>
      </w:tr>
      <w:tr>
        <w:trPr>
          <w:cantSplit/>
          <w:trHeight w:val="468"/>
        </w:trPr>
        <w:tc>
          <w:tcPr>
            <w:tcW w:w="846"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tcW w:w="1802" w:type="dxa"/>
            <w:vAlign w:val="center"/>
            <w:textDirection w:val="lrTb"/>
            <w:noWrap w:val="false"/>
          </w:tcPr>
          <w:p>
            <w:pPr>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其它落实政府采购政策的资格要求</w:t>
            </w:r>
            <w:r/>
          </w:p>
        </w:tc>
        <w:tc>
          <w:tcPr>
            <w:tcW w:w="5003" w:type="dxa"/>
            <w:vAlign w:val="center"/>
            <w:textDirection w:val="lrTb"/>
            <w:noWrap w:val="false"/>
          </w:tcPr>
          <w:p>
            <w:pPr>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提供证明文件的扫描件加盖公章</w:t>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本项目的特定资格要求</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4548"/>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是否接受联合体投标</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2、联合体各成员单位均须提供本表中序号1-1、1-2的证明文件。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6、若联合体中任一成员单位中途退出，则该联合体的</w:t>
            </w:r>
            <w:r>
              <w:rPr>
                <w:rFonts w:hint="eastAsia" w:ascii="宋体" w:hAnsi="宋体" w:eastAsia="宋体" w:cs="宋体"/>
                <w:b/>
                <w:color w:val="auto"/>
                <w:sz w:val="22"/>
                <w:szCs w:val="22"/>
                <w:highlight w:val="none"/>
              </w:rPr>
              <w:t xml:space="preserve">投标无效</w:t>
            </w:r>
            <w:r>
              <w:rPr>
                <w:rFonts w:hint="eastAsia" w:ascii="宋体" w:hAnsi="宋体" w:eastAsia="宋体" w:cs="宋体"/>
                <w:color w:val="auto"/>
                <w:sz w:val="22"/>
                <w:szCs w:val="22"/>
                <w:highlight w:val="none"/>
              </w:rPr>
              <w:t xml:space="preserve">。</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7、本项目不接受联合体投标时，投标人不得为联合体。</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提供《联合协议》原件的电子件</w:t>
            </w:r>
            <w:r/>
          </w:p>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格式见《投标文件格式》</w:t>
            </w:r>
            <w:r/>
          </w:p>
        </w:tc>
      </w:tr>
      <w:tr>
        <w:trPr>
          <w:cantSplit/>
          <w:trHeight w:val="460"/>
        </w:trPr>
        <w:tc>
          <w:tcPr>
            <w:tcW w:w="846" w:type="dxa"/>
            <w:vAlign w:val="center"/>
            <w:textDirection w:val="lrTb"/>
            <w:noWrap w:val="false"/>
          </w:tcPr>
          <w:p>
            <w:pPr>
              <w:jc w:val="cente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tcW w:w="1802"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其他特定资格要求</w:t>
            </w:r>
            <w:r/>
          </w:p>
        </w:tc>
        <w:tc>
          <w:tcPr>
            <w:tcW w:w="5003"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如有，见第一章《投标邀请》</w:t>
            </w:r>
            <w:r/>
          </w:p>
        </w:tc>
        <w:tc>
          <w:tcPr>
            <w:tcW w:w="1637" w:type="dxa"/>
            <w:vAlign w:val="center"/>
            <w:textDirection w:val="lrTb"/>
            <w:noWrap w:val="false"/>
          </w:tcPr>
          <w:p>
            <w:pPr>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提供证明文件的电子件或电子证照</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615"/>
            <w:r/>
          </w:p>
        </w:tc>
      </w:tr>
    </w:tbl>
    <w:p>
      <w:pPr>
        <w:jc w:val="left"/>
        <w:widowControl/>
        <w:rPr>
          <w:rFonts w:hint="eastAsia" w:ascii="宋体" w:hAnsi="宋体" w:eastAsia="宋体" w:cs="宋体"/>
          <w:color w:val="auto"/>
          <w:sz w:val="24"/>
          <w:highlight w:val="none"/>
        </w:rPr>
      </w:pPr>
      <w:r/>
      <w:bookmarkStart w:id="618" w:name="_Toc127161490"/>
      <w:r/>
      <w:bookmarkStart w:id="619" w:name="_Toc226965858"/>
      <w:r/>
      <w:bookmarkStart w:id="620" w:name="_Toc353873940"/>
      <w:r/>
      <w:bookmarkStart w:id="621" w:name="_Toc127151779"/>
      <w:r/>
      <w:bookmarkStart w:id="622" w:name="_Toc353825550"/>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6"/>
          <w:szCs w:val="36"/>
          <w:highlight w:val="none"/>
        </w:rPr>
        <w:outlineLvl w:val="0"/>
      </w:pPr>
      <w:r/>
      <w:bookmarkStart w:id="623" w:name="_Toc99301423"/>
      <w:r>
        <w:rPr>
          <w:rFonts w:hint="eastAsia" w:ascii="宋体" w:hAnsi="宋体" w:eastAsia="宋体" w:cs="宋体"/>
          <w:b/>
          <w:color w:val="auto"/>
          <w:sz w:val="36"/>
          <w:szCs w:val="36"/>
          <w:highlight w:val="none"/>
        </w:rPr>
        <w:t xml:space="preserve">第四章   </w:t>
      </w:r>
      <w:bookmarkEnd w:id="618"/>
      <w:r/>
      <w:bookmarkEnd w:id="619"/>
      <w:r/>
      <w:bookmarkEnd w:id="620"/>
      <w:r/>
      <w:bookmarkEnd w:id="621"/>
      <w:r/>
      <w:bookmarkEnd w:id="622"/>
      <w:r/>
      <w:bookmarkStart w:id="624" w:name="_Hlt164229061"/>
      <w:r/>
      <w:bookmarkEnd w:id="624"/>
      <w:r>
        <w:rPr>
          <w:rFonts w:hint="eastAsia" w:ascii="宋体" w:hAnsi="宋体" w:eastAsia="宋体" w:cs="宋体"/>
          <w:b/>
          <w:color w:val="auto"/>
          <w:sz w:val="36"/>
          <w:szCs w:val="36"/>
          <w:highlight w:val="none"/>
        </w:rPr>
        <w:t xml:space="preserve">评标程序、评标方法和评标标准</w:t>
      </w:r>
      <w:bookmarkEnd w:id="623"/>
      <w:r/>
      <w:r/>
    </w:p>
    <w:p>
      <w:pPr>
        <w:jc w:val="center"/>
        <w:spacing w:line="360" w:lineRule="auto"/>
        <w:tabs>
          <w:tab w:val="left" w:pos="360" w:leader="none"/>
          <w:tab w:val="left" w:pos="900" w:leader="none"/>
        </w:tabs>
        <w:rPr>
          <w:rFonts w:hint="eastAsia" w:ascii="宋体" w:hAnsi="宋体" w:eastAsia="宋体" w:cs="宋体"/>
          <w:b/>
          <w:color w:val="auto"/>
          <w:sz w:val="22"/>
          <w:szCs w:val="22"/>
          <w:highlight w:val="none"/>
        </w:rPr>
        <w:outlineLvl w:val="1"/>
      </w:pPr>
      <w:r>
        <w:rPr>
          <w:rFonts w:hint="eastAsia" w:ascii="宋体" w:hAnsi="宋体" w:eastAsia="宋体" w:cs="宋体"/>
          <w:b/>
          <w:color w:val="auto"/>
          <w:sz w:val="22"/>
          <w:szCs w:val="22"/>
          <w:highlight w:val="none"/>
        </w:rPr>
        <w:t xml:space="preserve">一、评标程序</w:t>
      </w:r>
      <w:r/>
    </w:p>
    <w:p>
      <w:pPr>
        <w:numPr>
          <w:ilvl w:val="0"/>
          <w:numId w:val="10"/>
        </w:numPr>
        <w:spacing w:line="360" w:lineRule="auto"/>
        <w:tabs>
          <w:tab w:val="left" w:pos="360" w:leader="none"/>
        </w:tabs>
        <w:rPr>
          <w:rFonts w:hint="eastAsia" w:ascii="宋体" w:hAnsi="宋体" w:eastAsia="宋体" w:cs="宋体"/>
          <w:color w:val="auto"/>
          <w:sz w:val="22"/>
          <w:szCs w:val="22"/>
          <w:highlight w:val="none"/>
        </w:rPr>
        <w:outlineLvl w:val="1"/>
      </w:pPr>
      <w:r/>
      <w:bookmarkStart w:id="625" w:name="_Toc151193639"/>
      <w:r/>
      <w:bookmarkStart w:id="626" w:name="_Toc164608810"/>
      <w:r/>
      <w:bookmarkStart w:id="627" w:name="_Toc226965731"/>
      <w:r/>
      <w:bookmarkStart w:id="628" w:name="_Toc149720834"/>
      <w:r/>
      <w:bookmarkStart w:id="629" w:name="_Toc150774641"/>
      <w:r/>
      <w:bookmarkStart w:id="630" w:name="_Toc265228379"/>
      <w:r/>
      <w:bookmarkStart w:id="631" w:name="_Toc127151541"/>
      <w:r/>
      <w:bookmarkStart w:id="632" w:name="_Toc264969231"/>
      <w:r/>
      <w:bookmarkStart w:id="633" w:name="_Toc164229382"/>
      <w:r/>
      <w:bookmarkStart w:id="634" w:name="_Toc151193783"/>
      <w:r/>
      <w:bookmarkStart w:id="635" w:name="_Toc151190168"/>
      <w:r/>
      <w:bookmarkStart w:id="636" w:name="_Toc150774746"/>
      <w:r/>
      <w:bookmarkStart w:id="637" w:name="_Toc164229236"/>
      <w:r/>
      <w:bookmarkStart w:id="638" w:name="_Toc164351635"/>
      <w:r/>
      <w:bookmarkStart w:id="639" w:name="_Toc151193711"/>
      <w:r/>
      <w:bookmarkStart w:id="640" w:name="_Toc150480779"/>
      <w:r/>
      <w:bookmarkStart w:id="641" w:name="_Toc151193929"/>
      <w:r/>
      <w:bookmarkStart w:id="642" w:name="_Toc150509292"/>
      <w:r/>
      <w:bookmarkStart w:id="643" w:name="_Toc127151742"/>
      <w:r/>
      <w:bookmarkStart w:id="644" w:name="_Toc164608655"/>
      <w:r/>
      <w:bookmarkStart w:id="645" w:name="_Toc127161455"/>
      <w:r/>
      <w:bookmarkStart w:id="646" w:name="_Toc226965814"/>
      <w:r/>
      <w:bookmarkStart w:id="647" w:name="_Toc226337237"/>
      <w:r/>
      <w:bookmarkStart w:id="648" w:name="_Toc305158883"/>
      <w:r/>
      <w:bookmarkStart w:id="649" w:name="_Toc195842906"/>
      <w:r/>
      <w:bookmarkStart w:id="650" w:name="_Toc142311043"/>
      <w:r/>
      <w:bookmarkStart w:id="651" w:name="_Toc151193855"/>
      <w:r/>
      <w:bookmarkStart w:id="652" w:name="_Toc226309785"/>
      <w:r/>
      <w:bookmarkStart w:id="653" w:name="_Toc305158809"/>
      <w:r/>
      <w:bookmarkStart w:id="654" w:name="_Toc353873941"/>
      <w:r/>
      <w:bookmarkStart w:id="655" w:name="_Toc353825551"/>
      <w:r/>
      <w:bookmarkStart w:id="656" w:name="_Toc142311057"/>
      <w:r/>
      <w:bookmarkStart w:id="657" w:name="_Toc226337251"/>
      <w:r/>
      <w:bookmarkStart w:id="658" w:name="_Toc150774760"/>
      <w:r/>
      <w:bookmarkStart w:id="659" w:name="_Toc305158897"/>
      <w:r/>
      <w:bookmarkStart w:id="660" w:name="_Toc353873665"/>
      <w:r/>
      <w:bookmarkStart w:id="661" w:name="_Toc265228393"/>
      <w:r/>
      <w:bookmarkStart w:id="662" w:name="_Toc150480793"/>
      <w:r/>
      <w:bookmarkStart w:id="663" w:name="_Toc195842920"/>
      <w:r/>
      <w:bookmarkStart w:id="664" w:name="_Toc264969245"/>
      <w:r/>
      <w:bookmarkStart w:id="665" w:name="_Toc127151555"/>
      <w:r/>
      <w:bookmarkStart w:id="666" w:name="_Toc353825545"/>
      <w:r/>
      <w:bookmarkStart w:id="667" w:name="_Toc226965828"/>
      <w:r/>
      <w:bookmarkStart w:id="668" w:name="_Toc353873935"/>
      <w:r/>
      <w:bookmarkStart w:id="669" w:name="_Toc305158823"/>
      <w:r>
        <w:rPr>
          <w:rFonts w:hint="eastAsia" w:ascii="宋体" w:hAnsi="宋体" w:eastAsia="宋体" w:cs="宋体"/>
          <w:color w:val="auto"/>
          <w:sz w:val="22"/>
          <w:szCs w:val="22"/>
          <w:highlight w:val="none"/>
        </w:rPr>
        <w:t xml:space="preserve">投标文件的符合性审查</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numPr>
          <w:ilvl w:val="1"/>
          <w:numId w:val="10"/>
        </w:numPr>
        <w:ind w:left="1077" w:hanging="720"/>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评标委员会对资格审查合格的投标人的投标文件进行符合性审查，以确定其是否满足招标文件的实质性要求。</w:t>
      </w:r>
      <w:bookmarkStart w:id="670" w:name="_Toc520356167"/>
      <w:r/>
      <w:r/>
    </w:p>
    <w:p>
      <w:pPr>
        <w:numPr>
          <w:ilvl w:val="1"/>
          <w:numId w:val="10"/>
        </w:numPr>
        <w:ind w:left="1077" w:hanging="720"/>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70"/>
      <w:r>
        <w:rPr>
          <w:rFonts w:hint="eastAsia" w:ascii="宋体" w:hAnsi="宋体" w:eastAsia="宋体" w:cs="宋体"/>
          <w:color w:val="auto"/>
          <w:sz w:val="22"/>
          <w:szCs w:val="22"/>
          <w:highlight w:val="none"/>
        </w:rPr>
        <w:t xml:space="preserve">要求的，</w:t>
      </w:r>
      <w:r>
        <w:rPr>
          <w:rFonts w:hint="eastAsia" w:ascii="宋体" w:hAnsi="宋体" w:eastAsia="宋体" w:cs="宋体"/>
          <w:b/>
          <w:color w:val="auto"/>
          <w:sz w:val="22"/>
          <w:szCs w:val="22"/>
          <w:highlight w:val="none"/>
        </w:rPr>
        <w:t xml:space="preserve">投标无效</w:t>
      </w:r>
      <w:r>
        <w:rPr>
          <w:rFonts w:hint="eastAsia" w:ascii="宋体" w:hAnsi="宋体" w:eastAsia="宋体" w:cs="宋体"/>
          <w:color w:val="auto"/>
          <w:sz w:val="22"/>
          <w:szCs w:val="22"/>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符合性审查要求</w:t>
      </w:r>
      <w:r/>
    </w:p>
    <w:tbl>
      <w:tblPr>
        <w:tblStyle w:val="9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739"/>
        <w:gridCol w:w="6449"/>
      </w:tblGrid>
      <w:tr>
        <w:trPr>
          <w:jc w:val="center"/>
          <w:trHeight w:val="489"/>
        </w:trPr>
        <w:tc>
          <w:tcPr>
            <w:tcW w:w="404"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976"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审查因素</w:t>
            </w:r>
            <w:r/>
          </w:p>
        </w:tc>
        <w:tc>
          <w:tcPr>
            <w:tcW w:w="3620"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投标函、法定代表人资格证明书、法定代表人授权委托书（如有）和政府采购供应商信用承诺书</w:t>
            </w:r>
            <w:r/>
          </w:p>
        </w:tc>
        <w:tc>
          <w:tcPr>
            <w:tcW w:w="3620"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按招标文件要求提供投标函、法定代表人资格证明书、法定代表人授权委托书（如有）和政府采购供应商信用承诺书；格式见《投标文件格式》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投标完整性</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未将一个采购包中的内容拆开投标；（由评委审查，无需供应商提供材料）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投标报价未超过招标文件中规定的项目/采购包预算金额或者项目/采购包最高限价；（由评委审查，无需供应商提供材料）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报价唯一性</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投标文件未出现可选择性或可调整的报价（招标文件另有规定的除外）；提供《开标一览表》，格式见《投标文件格式》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投标文件中承诺的投标有效期满足招标文件中载明的投标有效期的；提供承诺书。</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签署、加盖公章</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按照招标文件要求签署、加盖公章的；（由评委审查，无需供应商提供材料）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实质性格式</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标记为“实质性格式”的文件均按招标文件要求提供；</w:t>
            </w:r>
            <w:r>
              <w:rPr>
                <w:rFonts w:hint="eastAsia" w:ascii="宋体" w:hAnsi="宋体" w:eastAsia="宋体" w:cs="宋体"/>
                <w:color w:val="auto"/>
                <w:sz w:val="22"/>
                <w:szCs w:val="22"/>
                <w:highlight w:val="none"/>
              </w:rPr>
              <w:t xml:space="preserve">除前面已提供的实质性格式文件以外，</w:t>
            </w:r>
            <w:r>
              <w:rPr>
                <w:rFonts w:hint="eastAsia" w:ascii="宋体" w:hAnsi="宋体" w:eastAsia="宋体" w:cs="宋体"/>
                <w:b/>
                <w:color w:val="auto"/>
                <w:sz w:val="22"/>
                <w:szCs w:val="22"/>
                <w:highlight w:val="none"/>
              </w:rPr>
              <w:t xml:space="preserve">还需提供：合同条款偏离表，采购需求偏离表</w:t>
            </w:r>
            <w:r>
              <w:rPr>
                <w:rFonts w:hint="eastAsia" w:ascii="宋体" w:hAnsi="宋体" w:eastAsia="宋体" w:cs="宋体"/>
                <w:color w:val="auto"/>
                <w:sz w:val="22"/>
                <w:szCs w:val="22"/>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★号条款响应</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投标文件满足招标文件第五章《采购需求》中★号条款要求的；</w:t>
            </w:r>
            <w:r>
              <w:rPr>
                <w:rFonts w:hint="eastAsia" w:ascii="宋体" w:hAnsi="宋体" w:eastAsia="宋体" w:cs="宋体"/>
                <w:b/>
                <w:color w:val="auto"/>
                <w:sz w:val="22"/>
                <w:szCs w:val="22"/>
                <w:highlight w:val="none"/>
              </w:rPr>
              <w:t xml:space="preserve">如有的，根据列出的实质性条款，按照序号逐项提供相关证明材料；</w:t>
            </w:r>
            <w:r>
              <w:rPr>
                <w:rFonts w:hint="eastAsia" w:ascii="宋体" w:hAnsi="宋体" w:eastAsia="宋体" w:cs="宋体"/>
                <w:color w:val="auto"/>
                <w:sz w:val="22"/>
                <w:szCs w:val="22"/>
                <w:highlight w:val="none"/>
              </w:rPr>
              <w:t xml:space="preserve">如没有，则无需供应商提供材料。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分包承担主体资质（如有）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分包意向协议</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按招标文件规定签订并提供分包意向协议原件的电子件的；（如有）格式见《投标文件格式》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报价的修正（如有）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不涉及报价修正，或投标文件报价出现前后不一致时，供应商对修正后的报价予以确认；（如有）（由评委审查，无需供应商提供材料）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报价合理性</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1、投标（响应）报价低于采购项目预算50%的，即投标（响应）报价&lt;采购项目预算×50%；</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2、投标（响应）报价低于采购项目最高限价45%的，即投 标（响应）报价&lt;采购项目最高限价×45%；</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3、评审委员会认定的供应商报价过低、有可能影响产品质量或者不能诚信履约的其他情形。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 评审委员会应当将其作为无效投标（响应）处理。审查相关情况应当在评审报告中进行记录。</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进口产品</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招标文件不接受进口产品投标的内容时，供应商所投产品非进口产品的；（由评委审查，无需供应商提供材料）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国家有关部门对供应商的投标产品有强制性规定或要求的</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国家有关部门对供应商的投标产品有强制性规定或要求的（如相应技术、安全、节能和环保等），供应商的投标产品应符合相应规定或要求，并提供证明文件电子件：</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绿色包装要求</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公平竞争</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供应商遵循公平竞争的原则，不存在恶意串通，妨碍其他供应商的竞争行为，不存在损害采购人或者其他供应商的合法权益情形的；（由评委审查，无需供应商提供材料）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串通投标</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p>
        </w:tc>
      </w:tr>
      <w:tr>
        <w:trPr>
          <w:jc w:val="center"/>
          <w:trHeight w:val="363"/>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附加条件</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投标文件未含有采购人不能接受的附加条件的；（由评委审查，无需供应商提供材料）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W w:w="97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其他无效情形</w:t>
            </w:r>
            <w:r/>
          </w:p>
        </w:tc>
        <w:tc>
          <w:tcPr>
            <w:tcW w:w="362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投标人、投标文件不存在不符合法律、法规和招标文件规定的其他无效情形。（由评委审查，无需供应商提供材料）</w:t>
            </w:r>
            <w:r/>
          </w:p>
        </w:tc>
      </w:tr>
    </w:tbl>
    <w:p>
      <w:pPr>
        <w:pStyle w:val="961"/>
        <w:rPr>
          <w:rFonts w:hint="eastAsia" w:ascii="宋体" w:hAnsi="宋体" w:eastAsia="宋体" w:cs="宋体"/>
          <w:color w:val="auto"/>
          <w:highlight w:val="none"/>
        </w:rPr>
      </w:pPr>
      <w:r>
        <w:rPr>
          <w:rFonts w:hint="eastAsia" w:ascii="宋体" w:hAnsi="宋体" w:eastAsia="宋体" w:cs="宋体"/>
          <w:color w:val="auto"/>
          <w:highlight w:val="none"/>
        </w:rPr>
      </w:r>
      <w:bookmarkEnd w:id="654"/>
      <w:bookmarkEnd w:id="655"/>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2.投标文件有关事项的澄清或者说明</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pStyle w:val="1205"/>
        <w:ind w:firstLine="42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val="0"/>
          <w:bCs w:val="0"/>
          <w:color w:val="auto"/>
          <w:sz w:val="21"/>
          <w:szCs w:val="21"/>
          <w:highlight w:val="none"/>
        </w:rPr>
        <w:t xml:space="preserve">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b w:val="0"/>
          <w:bCs w:val="0"/>
          <w:color w:val="auto"/>
          <w:sz w:val="21"/>
          <w:szCs w:val="21"/>
          <w:highlight w:val="none"/>
        </w:rPr>
        <w:t xml:space="preserve">。</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2.4投标文件报价出现前后不一致的，按照下列规定修正：</w:t>
      </w:r>
      <w:r/>
    </w:p>
    <w:p>
      <w:pPr>
        <w:pStyle w:val="1205"/>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2.4.1招标文件对于报价修正是否另有规定：无，按下述2.4.2-2.4.7项规定修正。</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2.4.2单独递交的开标一览表（报价表）与投标文件中开标一览表（报价表）内容不一致的，以单独递交的开标一览表（报价表）为准；</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2.4.3投标文件中开标一览表（报价表）内容与投标文件中相应内容不一致的，以开标一览表（报价表）为准；</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2.4.4大写金额和小写金额不一致的，以大写金额为准；</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2.4.5单价金额小数点或者百分比有明显错位的，以开标一览表的总价为准，并修改单价；</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2.4.6总价金额与按单价汇总金额不一致的，以单价金额计算结果为准。</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2.4.7同时出现两种以上不一致的，按照前款规定的顺序修正。修正后的报价经供应商书面确认后产生约束力，供应商不确认的，其投标无效。</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2.5落实政府采购政策的价格调整：只有符合第二章《供应商须知》5.2条规定情形的，可以享受中小企业扶持政策，用扣除后的价格参加评审；</w:t>
      </w:r>
      <w:r>
        <w:rPr>
          <w:rFonts w:hint="eastAsia" w:ascii="宋体" w:hAnsi="宋体" w:eastAsia="宋体" w:cs="宋体"/>
          <w:b/>
          <w:bCs/>
          <w:color w:val="auto"/>
          <w:sz w:val="21"/>
          <w:szCs w:val="21"/>
          <w:highlight w:val="none"/>
        </w:rPr>
        <w:t xml:space="preserve">如为专门面向中小企业采购的项目，不再执行价格评审优惠的扶持政策，</w:t>
      </w:r>
      <w:r>
        <w:rPr>
          <w:rFonts w:hint="eastAsia" w:ascii="宋体" w:hAnsi="宋体" w:eastAsia="宋体" w:cs="宋体"/>
          <w:color w:val="auto"/>
          <w:sz w:val="21"/>
          <w:szCs w:val="21"/>
          <w:highlight w:val="none"/>
        </w:rPr>
        <w:t xml:space="preserve">评标时价格不予扣除。</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rPr>
          <w:rFonts w:hint="eastAsia" w:ascii="宋体" w:hAnsi="宋体" w:eastAsia="宋体" w:cs="宋体"/>
          <w:b/>
          <w:bCs/>
          <w:color w:val="auto"/>
          <w:sz w:val="21"/>
          <w:szCs w:val="21"/>
          <w:highlight w:val="none"/>
        </w:rPr>
        <w:t xml:space="preserve">对于未预留份额专门面向中小企业采购的采购项目，以及预留份额项目中的非预留部分采购包，对小微企业报价给予20%的扣除</w:t>
      </w:r>
      <w:r>
        <w:rPr>
          <w:rFonts w:hint="eastAsia" w:ascii="宋体" w:hAnsi="宋体" w:eastAsia="宋体" w:cs="宋体"/>
          <w:color w:val="auto"/>
          <w:sz w:val="21"/>
          <w:szCs w:val="21"/>
          <w:highlight w:val="none"/>
        </w:rPr>
        <w:t xml:space="preserve">，用扣除后的价格参加评审。</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2.5.3组成联合体或者接受分包的小微企业与联合体内其他企业、分包企业之间存在直接控股、管理关系的，不享受价格扣除优惠政策。</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2.5.4价格扣除比例对小型企业和微型企业同等对待，不作区分。</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2.5.5中小企业参加政府采购活动，应当按照招标文件给定的格式出具《中小企业声明函》，否则不得享受相关中小企业扶持政策。</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2.5.6监狱企业提供了由省级以上监狱管理局（常州市含教育矫治局）、戒毒管理局（含新疆生产建设兵团）出具的属于监狱企业的证明文件的，视同小微企业。</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2.5.7残疾人福利性单位按招标文件要求提供了《残疾人福利性单位声明函》（见附件）的，视同小微企业。</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2.5.8若供应商同时属于小型或微型企业、监狱企业、残疾人福利性单位中的两种及以上，将不重复享受小微企业价格扣减的优惠政策。</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3.投标文件的比较和评价</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3.2评标方法和评标标准</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3.2.1本项目采用的评标方法为：</w:t>
      </w:r>
      <w:r/>
    </w:p>
    <w:p>
      <w:pPr>
        <w:pStyle w:val="1205"/>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p>
    <w:p>
      <w:pPr>
        <w:pStyle w:val="1205"/>
        <w:ind w:firstLine="420"/>
        <w:rPr>
          <w:rFonts w:hint="eastAsia" w:ascii="宋体" w:hAnsi="宋体" w:eastAsia="宋体" w:cs="宋体"/>
          <w:b w:val="0"/>
          <w:bCs w:val="0"/>
          <w:color w:val="auto"/>
          <w:sz w:val="21"/>
          <w:szCs w:val="21"/>
          <w:highlight w:val="none"/>
        </w:rPr>
      </w:pPr>
      <w:r>
        <w:rPr>
          <w:rFonts w:hint="eastAsia"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最低评标价法，指投标文件满足招标文件全部实质性要求，且投标报价最低的供应商为中标候选人的评标方法。</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p>
    <w:p>
      <w:pPr>
        <w:pStyle w:val="1205"/>
        <w:ind w:firstLine="420"/>
        <w:rPr>
          <w:rFonts w:hint="eastAsia" w:ascii="宋体" w:hAnsi="宋体" w:eastAsia="宋体" w:cs="宋体"/>
          <w:color w:val="auto"/>
          <w:sz w:val="21"/>
          <w:szCs w:val="21"/>
          <w:highlight w:val="none"/>
        </w:rPr>
      </w:pPr>
      <w:r/>
      <w:bookmarkStart w:id="671" w:name="_Hlk107696993"/>
      <w:r>
        <w:rPr>
          <w:rFonts w:hint="eastAsia" w:ascii="宋体" w:hAnsi="宋体" w:eastAsia="宋体" w:cs="宋体"/>
          <w:color w:val="auto"/>
          <w:sz w:val="21"/>
          <w:szCs w:val="21"/>
          <w:highlight w:val="none"/>
        </w:rPr>
        <w:t xml:space="preserve">■随机抽取</w:t>
      </w:r>
      <w:bookmarkEnd w:id="671"/>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□其他方式，具体要求：_____</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rPr>
        <w:t xml:space="preserve">见评标标准相关评分项</w:t>
      </w:r>
      <w:r>
        <w:rPr>
          <w:rFonts w:hint="eastAsia" w:ascii="宋体" w:hAnsi="宋体" w:eastAsia="宋体" w:cs="宋体"/>
          <w:color w:val="auto"/>
          <w:sz w:val="21"/>
          <w:szCs w:val="21"/>
          <w:highlight w:val="none"/>
        </w:rPr>
        <w:t xml:space="preserve">。</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ascii="宋体" w:hAnsi="宋体" w:eastAsia="宋体" w:cs="宋体"/>
          <w:color w:val="auto"/>
          <w:sz w:val="21"/>
          <w:szCs w:val="21"/>
          <w:highlight w:val="none"/>
          <w:u w:val="single"/>
        </w:rPr>
        <w:t xml:space="preserve">见评标标准相关评分项</w:t>
      </w:r>
      <w:r>
        <w:rPr>
          <w:rFonts w:hint="eastAsia" w:ascii="宋体" w:hAnsi="宋体" w:eastAsia="宋体" w:cs="宋体"/>
          <w:color w:val="auto"/>
          <w:sz w:val="21"/>
          <w:szCs w:val="21"/>
          <w:highlight w:val="none"/>
        </w:rPr>
        <w:t xml:space="preserve">。</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4.确定</w:t>
      </w:r>
      <w:bookmarkStart w:id="672" w:name="_Toc226337242"/>
      <w:r/>
      <w:bookmarkStart w:id="673" w:name="_Toc305158814"/>
      <w:r/>
      <w:bookmarkStart w:id="674" w:name="_Toc265228384"/>
      <w:r/>
      <w:bookmarkStart w:id="675" w:name="_Toc305158888"/>
      <w:r/>
      <w:bookmarkStart w:id="676" w:name="_Toc151193934"/>
      <w:r/>
      <w:bookmarkStart w:id="677" w:name="_Toc164608660"/>
      <w:r/>
      <w:bookmarkStart w:id="678" w:name="_Toc150480784"/>
      <w:r/>
      <w:bookmarkStart w:id="679" w:name="_Toc127151747"/>
      <w:r/>
      <w:bookmarkStart w:id="680" w:name="_Toc226309790"/>
      <w:r/>
      <w:bookmarkStart w:id="681" w:name="_Toc151193644"/>
      <w:r/>
      <w:bookmarkStart w:id="682" w:name="_Toc151190173"/>
      <w:r/>
      <w:bookmarkStart w:id="683" w:name="_Toc164229387"/>
      <w:r/>
      <w:bookmarkStart w:id="684" w:name="_Toc264969236"/>
      <w:r/>
      <w:bookmarkStart w:id="685" w:name="_Toc142311048"/>
      <w:r/>
      <w:bookmarkStart w:id="686" w:name="_Toc151193716"/>
      <w:r/>
      <w:bookmarkStart w:id="687" w:name="_Toc127151546"/>
      <w:r/>
      <w:bookmarkStart w:id="688" w:name="_Toc150509297"/>
      <w:r/>
      <w:bookmarkStart w:id="689" w:name="_Toc195842911"/>
      <w:r/>
      <w:bookmarkStart w:id="690" w:name="_Toc151193788"/>
      <w:r/>
      <w:bookmarkStart w:id="691" w:name="_Toc226965736"/>
      <w:r/>
      <w:bookmarkStart w:id="692" w:name="_Toc164608815"/>
      <w:r/>
      <w:bookmarkStart w:id="693" w:name="_Toc164351640"/>
      <w:r/>
      <w:bookmarkStart w:id="694" w:name="_Toc150774646"/>
      <w:r/>
      <w:bookmarkStart w:id="695" w:name="_Toc150774751"/>
      <w:r/>
      <w:bookmarkStart w:id="696" w:name="_Toc226965819"/>
      <w:r/>
      <w:bookmarkStart w:id="697" w:name="_Toc149720839"/>
      <w:r/>
      <w:bookmarkStart w:id="698" w:name="_Toc127161460"/>
      <w:r/>
      <w:bookmarkStart w:id="699" w:name="_Toc520356170"/>
      <w:r/>
      <w:bookmarkStart w:id="700" w:name="_Ref467307010"/>
      <w:r/>
      <w:bookmarkStart w:id="701" w:name="_Toc151193860"/>
      <w:r/>
      <w:bookmarkStart w:id="702" w:name="_Toc164229241"/>
      <w:r>
        <w:rPr>
          <w:rFonts w:hint="eastAsia" w:ascii="宋体" w:hAnsi="宋体" w:eastAsia="宋体" w:cs="宋体"/>
          <w:color w:val="auto"/>
          <w:sz w:val="21"/>
          <w:szCs w:val="21"/>
          <w:highlight w:val="none"/>
        </w:rPr>
        <w:t xml:space="preserve">中标候选人名单</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■随机抽取</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□其他方式，具体要求：_____</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rPr>
          <w:rFonts w:hint="eastAsia" w:ascii="宋体" w:hAnsi="宋体" w:eastAsia="宋体" w:cs="宋体"/>
          <w:b/>
          <w:bCs/>
          <w:color w:val="auto"/>
          <w:sz w:val="21"/>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p>
    <w:p>
      <w:pPr>
        <w:pStyle w:val="1205"/>
        <w:ind w:firstLine="42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4.3</w:t>
      </w:r>
      <w:r>
        <w:rPr>
          <w:rFonts w:hint="eastAsia" w:ascii="宋体" w:hAnsi="宋体" w:eastAsia="宋体" w:cs="宋体"/>
          <w:b w:val="0"/>
          <w:bCs w:val="0"/>
          <w:color w:val="auto"/>
          <w:sz w:val="21"/>
          <w:szCs w:val="21"/>
          <w:highlight w:val="none"/>
        </w:rPr>
        <w:t xml:space="preserve">采用最低评标价法时，评标结果按本章2.4、2.5调整后的投标报价由低到高顺序排列。投标报价相同的并列。投标文件满足招标文件全部实质性要求且投标报价最低的供应商为排名第一的中标候选人。</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4.4评标委员会要对评分汇总情况进行复核，特别是对排名第一的、报价最低的、投标或投标文件被认定为无效的情形进行重点复核。</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rPr>
          <w:rFonts w:hint="eastAsia" w:ascii="宋体" w:hAnsi="宋体" w:eastAsia="宋体" w:cs="宋体"/>
          <w:b/>
          <w:bCs/>
          <w:color w:val="auto"/>
          <w:sz w:val="21"/>
          <w:szCs w:val="21"/>
          <w:highlight w:val="none"/>
        </w:rPr>
        <w:t xml:space="preserve">评标委员会将根据各供应商的评标排序，依次推荐本项目（各采购包）的中标候选人，起草并签署评标报告。本项目（各采购包）评标委员会共（各）推荐不少于3名中标候选人。</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5.报告违法行为</w:t>
      </w:r>
      <w:r/>
    </w:p>
    <w:p>
      <w:pPr>
        <w:pStyle w:val="120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5.1评标委员会在评标过程中发现供应商有行贿、提供虚假材料或者串通等违法行为时，有向采购人、采购代理机构或者有关部门报告的职责。</w:t>
      </w:r>
      <w:r/>
    </w:p>
    <w:p>
      <w:pPr>
        <w:rPr>
          <w:b/>
          <w:color w:val="auto"/>
          <w:sz w:val="24"/>
          <w:highlight w:val="none"/>
        </w:rPr>
      </w:pPr>
      <w:r/>
      <w:bookmarkStart w:id="703" w:name="_Toc184327613"/>
      <w:r>
        <w:rPr>
          <w:b/>
          <w:color w:val="auto"/>
          <w:sz w:val="24"/>
          <w:highlight w:val="none"/>
        </w:rPr>
        <w:br w:type="page" w:clear="all"/>
      </w:r>
      <w:r/>
    </w:p>
    <w:p>
      <w:pPr>
        <w:ind w:firstLine="357"/>
        <w:jc w:val="center"/>
        <w:spacing w:line="360" w:lineRule="auto"/>
        <w:tabs>
          <w:tab w:val="left" w:pos="360" w:leader="none"/>
          <w:tab w:val="left" w:pos="900" w:leader="none"/>
        </w:tabs>
        <w:rPr>
          <w:color w:val="auto"/>
          <w:sz w:val="24"/>
          <w:highlight w:val="none"/>
        </w:rPr>
        <w:outlineLvl w:val="1"/>
      </w:pPr>
      <w:r>
        <w:rPr>
          <w:b/>
          <w:color w:val="auto"/>
          <w:sz w:val="24"/>
          <w:highlight w:val="none"/>
        </w:rPr>
        <w:t xml:space="preserve">二、评标标准</w:t>
      </w:r>
      <w:bookmarkEnd w:id="7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由评审小组对所有有效投标文件进行详细的评分，采用百分制计分方法。评标时，评审小组各成员遵循公平、公正、择优原则，独立对每个有效投标人的投标文件进行评价、打分，各个投标人的最终得分为汇总计算所有评审小组成员所评定分值的平均值（保留2位小数）。评审小组按评审后最终综合得分由高到低顺序排列名次，并推荐第一中标候选单位。如得分相同的，按投标报价由低到高顺序推荐成第一中标候选单位。如得分相同，报价相同，则由招标人抽签确定第一中标候选单位。</w:t>
      </w:r>
      <w:r/>
    </w:p>
    <w:p>
      <w:pPr>
        <w:ind w:firstLine="420"/>
        <w:jc w:val="left"/>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评分细则如下：</w:t>
      </w:r>
      <w:r/>
    </w:p>
    <w:tbl>
      <w:tblPr>
        <w:tblStyle w:val="937"/>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261"/>
        <w:gridCol w:w="810"/>
        <w:gridCol w:w="6292"/>
      </w:tblGrid>
      <w:tr>
        <w:trPr>
          <w:trHeight w:val="454"/>
        </w:trPr>
        <w:tc>
          <w:tcPr>
            <w:tcW w:w="46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评分因素</w:t>
            </w:r>
            <w:r/>
          </w:p>
        </w:tc>
        <w:tc>
          <w:tcPr>
            <w:tcW w:w="43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评分标准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价格分</w:t>
            </w:r>
            <w:r/>
          </w:p>
        </w:tc>
        <w:tc>
          <w:tcPr>
            <w:tcW w:w="43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投标报价得分＝（评标基准价/投标报价）×分值。</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主观分</w:t>
            </w:r>
            <w:r/>
          </w:p>
        </w:tc>
        <w:tc>
          <w:tcPr>
            <w:tcW w:w="43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50</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工作方案</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8</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工作方案：包括对项目背景、项目所在地熟悉程度、项目工作范围、项目目标、项目主要工作内容、最终成果等内容进行阐述，结合本项目的实际情况进行了解调查的文字说明，对项目认知明确、具体深入，提供详细的说明和分析等；</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方案完整、可行，能完全满足项目实施要求，得</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方案较具体、可行，能基本满足项目实施要求，得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方案内容较简单，对项目实施要求响应一般，得</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方案内容较差、无针对性或可行性较差，得</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未提供本项不得分。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技术先进性</w:t>
            </w:r>
            <w:r/>
          </w:p>
        </w:tc>
        <w:tc>
          <w:tcPr>
            <w:tcW w:w="439"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7</w:t>
            </w:r>
            <w:r/>
          </w:p>
        </w:tc>
        <w:tc>
          <w:tcPr>
            <w:tcW w:w="3409"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针对本项目，从工艺技术的先进性，资源化利用方案，智能化监测系统，节能减排效果等技术方案；</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方案完整、可行，能完全满足项目实施要求，得</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方案较具体、可行，能基本满足项目实施要求，得</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方案内容较简单，对项目实施要求响应一般，得</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方案内容较差、无针对性或可行性较差，得1分；</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未提供本项不得分。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2.3</w:t>
            </w:r>
            <w:r/>
          </w:p>
        </w:tc>
        <w:tc>
          <w:tcPr>
            <w:tcW w:w="683"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危险废弃物识别与防控预案</w:t>
            </w:r>
            <w:r/>
          </w:p>
        </w:tc>
        <w:tc>
          <w:tcPr>
            <w:tcW w:w="439"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7</w:t>
            </w:r>
            <w:r/>
          </w:p>
        </w:tc>
        <w:tc>
          <w:tcPr>
            <w:tcW w:w="340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能全面、准确识别项目全流程可能产生的危险废弃物种类及危害特性</w:t>
            </w:r>
            <w:r>
              <w:rPr>
                <w:rFonts w:hint="eastAsia" w:ascii="宋体" w:hAnsi="宋体" w:eastAsia="宋体" w:cs="宋体"/>
                <w:color w:val="auto"/>
                <w:szCs w:val="24"/>
                <w:highlight w:val="none"/>
                <w:lang w:eastAsia="zh-CN"/>
              </w:rPr>
              <w:t xml:space="preserve">；</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制定针对性强、可落地的防控预案，明确防控责任分工、防控节点及应急处置流程，得</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识别</w:t>
            </w:r>
            <w:r>
              <w:rPr>
                <w:rFonts w:hint="eastAsia" w:ascii="宋体" w:hAnsi="宋体" w:eastAsia="宋体" w:cs="宋体"/>
                <w:color w:val="auto"/>
                <w:szCs w:val="24"/>
                <w:highlight w:val="none"/>
                <w:lang w:val="en-US" w:eastAsia="zh-CN"/>
              </w:rPr>
              <w:t xml:space="preserve">较</w:t>
            </w:r>
            <w:r>
              <w:rPr>
                <w:rFonts w:hint="eastAsia" w:ascii="宋体" w:hAnsi="宋体" w:eastAsia="宋体" w:cs="宋体"/>
                <w:color w:val="auto"/>
                <w:szCs w:val="24"/>
                <w:highlight w:val="none"/>
              </w:rPr>
              <w:t xml:space="preserve">全面，防控预案</w:t>
            </w:r>
            <w:r>
              <w:rPr>
                <w:rFonts w:hint="eastAsia" w:ascii="宋体" w:hAnsi="宋体" w:eastAsia="宋体" w:cs="宋体"/>
                <w:color w:val="auto"/>
                <w:szCs w:val="24"/>
                <w:highlight w:val="none"/>
                <w:lang w:val="en-US" w:eastAsia="zh-CN"/>
              </w:rPr>
              <w:t xml:space="preserve">较</w:t>
            </w:r>
            <w:r>
              <w:rPr>
                <w:rFonts w:hint="eastAsia" w:ascii="宋体" w:hAnsi="宋体" w:eastAsia="宋体" w:cs="宋体"/>
                <w:color w:val="auto"/>
                <w:szCs w:val="24"/>
                <w:highlight w:val="none"/>
              </w:rPr>
              <w:t xml:space="preserve">可行</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防控责任分工、防控节点及应急处置流程</w:t>
            </w:r>
            <w:r>
              <w:rPr>
                <w:rFonts w:hint="eastAsia" w:ascii="宋体" w:hAnsi="宋体" w:eastAsia="宋体" w:cs="宋体"/>
                <w:color w:val="auto"/>
                <w:szCs w:val="24"/>
                <w:highlight w:val="none"/>
                <w:lang w:val="en-US" w:eastAsia="zh-CN"/>
              </w:rPr>
              <w:t xml:space="preserve">较</w:t>
            </w:r>
            <w:r>
              <w:rPr>
                <w:rFonts w:hint="eastAsia" w:ascii="宋体" w:hAnsi="宋体" w:eastAsia="宋体" w:cs="宋体"/>
                <w:color w:val="auto"/>
                <w:szCs w:val="24"/>
                <w:highlight w:val="none"/>
              </w:rPr>
              <w:t xml:space="preserve">明确，得</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rPr>
                <w:rFonts w:hint="eastAsia" w:ascii="宋体" w:hAnsi="宋体" w:eastAsia="宋体" w:cs="宋体"/>
                <w:color w:val="auto"/>
                <w:szCs w:val="24"/>
                <w:highlight w:val="none"/>
                <w:lang w:eastAsia="zh-CN"/>
              </w:rPr>
              <w:t xml:space="preserve">；</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识别基本全面，防控预案基本可行</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防控责任分工、防控节点及应急处置流程</w:t>
            </w:r>
            <w:r>
              <w:rPr>
                <w:rFonts w:hint="eastAsia" w:ascii="宋体" w:hAnsi="宋体" w:eastAsia="宋体" w:cs="宋体"/>
                <w:color w:val="auto"/>
                <w:szCs w:val="24"/>
                <w:highlight w:val="none"/>
                <w:lang w:val="en-US" w:eastAsia="zh-CN"/>
              </w:rPr>
              <w:t xml:space="preserve">明确性一般</w:t>
            </w:r>
            <w:r>
              <w:rPr>
                <w:rFonts w:hint="eastAsia" w:ascii="宋体" w:hAnsi="宋体" w:eastAsia="宋体" w:cs="宋体"/>
                <w:color w:val="auto"/>
                <w:szCs w:val="24"/>
                <w:highlight w:val="none"/>
              </w:rPr>
              <w:t xml:space="preserve">，得</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未识别危险废弃物或防控预案缺失、不可行，防控责任分工、防控节点及应急处置流程</w:t>
            </w:r>
            <w:r>
              <w:rPr>
                <w:rFonts w:hint="eastAsia" w:ascii="宋体" w:hAnsi="宋体" w:eastAsia="宋体" w:cs="宋体"/>
                <w:color w:val="auto"/>
                <w:szCs w:val="24"/>
                <w:highlight w:val="none"/>
                <w:lang w:val="en-US" w:eastAsia="zh-CN"/>
              </w:rPr>
              <w:t xml:space="preserve">明确性较差，得1分；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未提供本项不得分。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进度计划和各阶段进度的保证措施</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7</w:t>
            </w:r>
            <w:r/>
          </w:p>
        </w:tc>
        <w:tc>
          <w:tcPr>
            <w:tcW w:w="3409" w:type="dxa"/>
            <w:vAlign w:val="top"/>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进度计划和各阶段进度的保证措施,包括但不限于组织措施、技术措施、物资安排措施；</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方案完整、可行，工期满足要求，工期提前有保证措施，进度计划与工期安排衔接对应，能完全满足项目实施要求，得</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方案较具体、可行，工期基本满足要求，进度计划与工期安排衔接基本对应，能基本满足项目实施要求，得</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方案内容较简单，对项目实施要求响应一般，得</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方案内容较差、无针对性或可行性较差，得</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未提供本项不得分。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5</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质量保证措施</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7</w:t>
            </w:r>
            <w:r/>
          </w:p>
        </w:tc>
        <w:tc>
          <w:tcPr>
            <w:tcW w:w="3409" w:type="dxa"/>
            <w:vAlign w:val="top"/>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质量保证措施，包括但不限于质量管理制度、质量通病的针对性措施、实施项目前中后全过程质量控制措施等；</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服务期内土壤修复保障措施的方案完整、可行，能完全满足项目实施要求，得</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服务期内土壤修复保障措施的方案较具体、可行，能基本满足项目实施要求，得</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服务期内土壤修复保障措施的方案内容较简单，对项目实施要求响应一般，得</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服务期内土壤修复保障措施的方案内容较差、无针对性或可行性较差，得</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未提供本项不得分。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应急方案</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7</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项目实施过程风险防范措施、应急方案：包括但不限于面对突发事件如自然灾害、重特大事故、环境公害及人为破坏的应急管理、指挥、救援计划等；</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方案完整、可行，能完全满足项目实施要求，得</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方案较具体、可行，能基本满足项目实施要求，得</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方案内容较简单，对项目实施要求响应一般，得3分；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方案内容较差、无针对性或可行性较差，得1分；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未提供本项不得分。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协调安排</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7</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协调安排方案：包括但不限于项目实施过程与业主、管理部门、处置单位等的沟通协调安排等方案；</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方案完整、可行，能完全满足项目实施要求，得</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方案较具体、可行，能基本满足项目实施要求，得</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方案内容较简单，对项目实施要求响应一般，得</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方案内容较差、无针对性或可行性较差，得1分；</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未提供本项不得分。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客观分</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1695"/>
        </w:trPr>
        <w:tc>
          <w:tcPr>
            <w:tcW w:w="46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企业业绩</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5</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供应商自2021年</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月1日</w:t>
            </w:r>
            <w:r>
              <w:rPr>
                <w:rFonts w:hint="eastAsia" w:ascii="宋体" w:hAnsi="宋体" w:eastAsia="宋体" w:cs="宋体"/>
                <w:color w:val="auto"/>
                <w:szCs w:val="24"/>
                <w:highlight w:val="none"/>
                <w:lang w:val="en-US" w:eastAsia="zh-CN"/>
              </w:rPr>
              <w:t xml:space="preserve">至本项目开标之日止，</w:t>
            </w:r>
            <w:r>
              <w:rPr>
                <w:rFonts w:hint="eastAsia" w:ascii="宋体" w:hAnsi="宋体" w:eastAsia="宋体" w:cs="宋体"/>
                <w:color w:val="auto"/>
                <w:szCs w:val="24"/>
                <w:highlight w:val="none"/>
              </w:rPr>
              <w:t xml:space="preserve">具有类似的项目业绩，每提供一份有效业绩合同得</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分，本项最高得</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注：提供完整合同原件扫描件，未提供不得分。时间以合同签订时间为准。</w:t>
            </w:r>
            <w:bookmarkStart w:id="840" w:name="_GoBack"/>
            <w:r/>
            <w:bookmarkEnd w:id="840"/>
            <w:r/>
            <w:r/>
          </w:p>
        </w:tc>
      </w:tr>
      <w:tr>
        <w:trPr>
          <w:trHeight w:val="1664"/>
        </w:trPr>
        <w:tc>
          <w:tcPr>
            <w:tcW w:w="46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2</w:t>
            </w:r>
            <w:r/>
          </w:p>
        </w:tc>
        <w:tc>
          <w:tcPr>
            <w:tcW w:w="683"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企业实力</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3</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具备有效期内的质量管理体系、环境管理体系证书和职业健康安全体系证书，有1个得</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分，本项最高得</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注：</w:t>
            </w:r>
            <w:r>
              <w:rPr>
                <w:rFonts w:hint="eastAsia" w:ascii="宋体" w:hAnsi="宋体" w:eastAsia="宋体" w:cs="宋体"/>
                <w:color w:val="auto"/>
                <w:szCs w:val="24"/>
                <w:highlight w:val="none"/>
              </w:rPr>
              <w:t xml:space="preserve">响应文件中同时提供证书及对应证书在国家认证认可监督管理委员会网站（http://www.cnca.gov.cn/）查询为“有效”状态的截图。未提供的或无效的不得分。</w:t>
            </w:r>
            <w:r/>
          </w:p>
        </w:tc>
      </w:tr>
      <w:tr>
        <w:trPr>
          <w:trHeight w:val="357"/>
        </w:trPr>
        <w:tc>
          <w:tcPr>
            <w:tcW w:w="469" w:type="dxa"/>
            <w:vAlign w:val="center"/>
            <w:textDirection w:val="lrTb"/>
            <w:noWrap w:val="false"/>
          </w:tcPr>
          <w:p>
            <w:pP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3.3</w:t>
            </w:r>
            <w:r/>
          </w:p>
        </w:tc>
        <w:tc>
          <w:tcPr>
            <w:tcW w:w="683" w:type="dxa"/>
            <w:vAlign w:val="center"/>
            <w:textDirection w:val="lrTb"/>
            <w:noWrap w:val="false"/>
          </w:tcPr>
          <w:p>
            <w:pP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处置能力</w:t>
            </w:r>
            <w:r/>
          </w:p>
        </w:tc>
        <w:tc>
          <w:tcPr>
            <w:tcW w:w="439" w:type="dxa"/>
            <w:vAlign w:val="center"/>
            <w:textDirection w:val="lrTb"/>
            <w:noWrap w:val="false"/>
          </w:tcPr>
          <w:p>
            <w:pP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3</w:t>
            </w:r>
            <w:r/>
          </w:p>
        </w:tc>
        <w:tc>
          <w:tcPr>
            <w:tcW w:w="3409" w:type="dxa"/>
            <w:vAlign w:val="center"/>
            <w:textDirection w:val="lrTb"/>
            <w:noWrap w:val="false"/>
          </w:tcPr>
          <w:p>
            <w:pPr>
              <w:numPr>
                <w:ilvl w:val="0"/>
                <w:numId w:val="0"/>
              </w:numP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供应商提供与合规处置的资源化处置单位(合规处置废水、废土等接收单位)签订的处置协议(协议服务有效期需至2026年8月31日之后)的得3分；</w:t>
            </w:r>
            <w:r>
              <w:rPr>
                <w:rFonts w:hint="eastAsia" w:ascii="宋体" w:hAnsi="宋体" w:eastAsia="宋体" w:cs="宋体"/>
                <w:color w:val="auto"/>
                <w:szCs w:val="24"/>
                <w:highlight w:val="none"/>
                <w:lang w:val="en-US" w:eastAsia="zh-CN"/>
              </w:rPr>
              <w:t xml:space="preserve">承诺中标之后7个</w:t>
            </w:r>
            <w:r>
              <w:rPr>
                <w:rFonts w:hint="eastAsia" w:ascii="宋体" w:hAnsi="宋体" w:cs="宋体"/>
                <w:color w:val="auto"/>
                <w:szCs w:val="24"/>
                <w:highlight w:val="none"/>
                <w:lang w:val="en-US" w:eastAsia="zh-CN"/>
              </w:rPr>
              <w:t xml:space="preserve">日历日</w:t>
            </w:r>
            <w:r>
              <w:rPr>
                <w:rFonts w:hint="eastAsia" w:ascii="宋体" w:hAnsi="宋体" w:eastAsia="宋体" w:cs="宋体"/>
                <w:color w:val="auto"/>
                <w:szCs w:val="24"/>
                <w:highlight w:val="none"/>
                <w:lang w:val="en-US" w:eastAsia="zh-CN"/>
              </w:rPr>
              <w:t xml:space="preserve">内提供与合规处置的资源化处置单位(合规处置废水、废土等接收单位)签订的处置协议的得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分</w:t>
            </w:r>
            <w:r>
              <w:rPr>
                <w:rFonts w:hint="eastAsia" w:ascii="宋体" w:hAnsi="宋体" w:cs="宋体"/>
                <w:color w:val="auto"/>
                <w:szCs w:val="24"/>
                <w:highlight w:val="none"/>
                <w:lang w:val="en-US" w:eastAsia="zh-CN"/>
              </w:rPr>
              <w:t xml:space="preserve">；</w:t>
            </w:r>
            <w:r>
              <w:rPr>
                <w:rFonts w:hint="eastAsia" w:ascii="宋体" w:hAnsi="宋体" w:eastAsia="宋体" w:cs="宋体"/>
                <w:color w:val="auto"/>
                <w:szCs w:val="24"/>
                <w:highlight w:val="none"/>
                <w:lang w:val="en-US" w:eastAsia="zh-CN"/>
              </w:rPr>
              <w:t xml:space="preserve">承诺中标之后</w:t>
            </w:r>
            <w:r>
              <w:rPr>
                <w:rFonts w:hint="eastAsia" w:ascii="宋体" w:hAnsi="宋体" w:cs="宋体"/>
                <w:color w:val="auto"/>
                <w:szCs w:val="24"/>
                <w:highlight w:val="none"/>
                <w:lang w:val="en-US" w:eastAsia="zh-CN"/>
              </w:rPr>
              <w:t xml:space="preserve">8-25</w:t>
            </w:r>
            <w:r>
              <w:rPr>
                <w:rFonts w:hint="eastAsia" w:ascii="宋体" w:hAnsi="宋体" w:eastAsia="宋体" w:cs="宋体"/>
                <w:color w:val="auto"/>
                <w:szCs w:val="24"/>
                <w:highlight w:val="none"/>
                <w:lang w:val="en-US" w:eastAsia="zh-CN"/>
              </w:rPr>
              <w:t xml:space="preserve">个</w:t>
            </w:r>
            <w:r>
              <w:rPr>
                <w:rFonts w:hint="eastAsia" w:ascii="宋体" w:hAnsi="宋体" w:cs="宋体"/>
                <w:color w:val="auto"/>
                <w:szCs w:val="24"/>
                <w:highlight w:val="none"/>
                <w:lang w:val="en-US" w:eastAsia="zh-CN"/>
              </w:rPr>
              <w:t xml:space="preserve">日历日</w:t>
            </w:r>
            <w:r>
              <w:rPr>
                <w:rFonts w:hint="eastAsia" w:ascii="宋体" w:hAnsi="宋体" w:eastAsia="宋体" w:cs="宋体"/>
                <w:color w:val="auto"/>
                <w:szCs w:val="24"/>
                <w:highlight w:val="none"/>
                <w:lang w:val="en-US" w:eastAsia="zh-CN"/>
              </w:rPr>
              <w:t xml:space="preserve">内提供与合规处置的资源化处置单位(合规处置废水、废土等接收单位)签订的处置协议的得</w:t>
            </w:r>
            <w:r>
              <w:rPr>
                <w:rFonts w:hint="eastAsia" w:ascii="宋体" w:hAnsi="宋体" w:cs="宋体"/>
                <w:color w:val="auto"/>
                <w:szCs w:val="24"/>
                <w:highlight w:val="none"/>
                <w:lang w:val="en-US" w:eastAsia="zh-CN"/>
              </w:rPr>
              <w:t xml:space="preserve">1</w:t>
            </w:r>
            <w:r>
              <w:rPr>
                <w:rFonts w:hint="eastAsia" w:ascii="宋体" w:hAnsi="宋体" w:eastAsia="宋体" w:cs="宋体"/>
                <w:color w:val="auto"/>
                <w:szCs w:val="24"/>
                <w:highlight w:val="none"/>
                <w:lang w:val="en-US" w:eastAsia="zh-CN"/>
              </w:rPr>
              <w:t xml:space="preserve">分</w:t>
            </w:r>
            <w:r>
              <w:rPr>
                <w:rFonts w:hint="eastAsia" w:ascii="宋体" w:hAnsi="宋体" w:cs="宋体"/>
                <w:color w:val="auto"/>
                <w:szCs w:val="24"/>
                <w:highlight w:val="none"/>
                <w:lang w:val="en-US" w:eastAsia="zh-CN"/>
              </w:rPr>
              <w:t xml:space="preserve">；未提供不得分。</w:t>
            </w:r>
            <w:r/>
          </w:p>
          <w:p>
            <w:pPr>
              <w:rPr>
                <w:rFonts w:hint="default" w:ascii="宋体" w:hAnsi="宋体" w:eastAsia="宋体" w:cs="宋体"/>
                <w:color w:val="auto"/>
                <w:szCs w:val="24"/>
                <w:highlight w:val="none"/>
                <w:lang w:val="en-US" w:eastAsia="zh-CN"/>
              </w:rPr>
            </w:pPr>
            <w:r>
              <w:rPr>
                <w:rFonts w:hint="eastAsia" w:ascii="宋体" w:hAnsi="宋体" w:cs="宋体"/>
                <w:b/>
                <w:bCs/>
                <w:color w:val="auto"/>
                <w:szCs w:val="24"/>
                <w:highlight w:val="none"/>
                <w:lang w:val="en-US" w:eastAsia="zh-CN"/>
              </w:rPr>
              <w:t xml:space="preserve">注：提供协议扫描件或</w:t>
            </w:r>
            <w:r>
              <w:rPr>
                <w:rFonts w:hint="eastAsia" w:ascii="宋体" w:hAnsi="宋体" w:eastAsia="宋体" w:cs="宋体"/>
                <w:b/>
                <w:bCs/>
                <w:color w:val="auto"/>
                <w:szCs w:val="24"/>
                <w:highlight w:val="none"/>
              </w:rPr>
              <w:t xml:space="preserve">承诺函(格式自拟)加盖投标人公章</w:t>
            </w:r>
            <w:r>
              <w:rPr>
                <w:rFonts w:hint="eastAsia" w:ascii="宋体" w:hAnsi="宋体" w:eastAsia="宋体" w:cs="宋体"/>
                <w:b/>
                <w:bCs/>
                <w:color w:val="auto"/>
                <w:szCs w:val="24"/>
                <w:highlight w:val="none"/>
                <w:lang w:val="en-US" w:eastAsia="zh-CN"/>
              </w:rPr>
              <w:t xml:space="preserve">的扫描件</w:t>
            </w:r>
            <w:r>
              <w:rPr>
                <w:rFonts w:hint="eastAsia" w:ascii="宋体" w:hAnsi="宋体" w:eastAsia="宋体" w:cs="宋体"/>
                <w:b/>
                <w:bCs/>
                <w:color w:val="auto"/>
                <w:szCs w:val="24"/>
                <w:highlight w:val="none"/>
              </w:rPr>
              <w:t xml:space="preserve">，否则不得分。</w:t>
            </w:r>
            <w:r/>
          </w:p>
        </w:tc>
      </w:tr>
      <w:tr>
        <w:trPr>
          <w:trHeight w:val="1311"/>
        </w:trPr>
        <w:tc>
          <w:tcPr>
            <w:tcW w:w="469"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4</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拟投入机械设备</w:t>
            </w:r>
            <w:r/>
          </w:p>
        </w:tc>
        <w:tc>
          <w:tcPr>
            <w:tcW w:w="439" w:type="dxa"/>
            <w:vAlign w:val="center"/>
            <w:textDirection w:val="lrTb"/>
            <w:noWrap w:val="false"/>
          </w:tcPr>
          <w:p>
            <w:pP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10</w:t>
            </w:r>
            <w:r/>
          </w:p>
        </w:tc>
        <w:tc>
          <w:tcPr>
            <w:tcW w:w="340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具有挖掘机、运输车辆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吸污车、吊机、雾炮车</w:t>
            </w:r>
            <w:r>
              <w:rPr>
                <w:rFonts w:hint="eastAsia" w:ascii="宋体" w:hAnsi="宋体" w:eastAsia="宋体" w:cs="宋体"/>
                <w:color w:val="auto"/>
                <w:szCs w:val="24"/>
                <w:highlight w:val="none"/>
              </w:rPr>
              <w:t xml:space="preserve">，每有一项得</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分（同一机械不重复得分），本项最高得</w:t>
            </w:r>
            <w:r>
              <w:rPr>
                <w:rFonts w:hint="eastAsia" w:ascii="宋体" w:hAnsi="宋体" w:cs="宋体"/>
                <w:color w:val="auto"/>
                <w:szCs w:val="24"/>
                <w:highlight w:val="none"/>
                <w:lang w:val="en-US" w:eastAsia="zh-CN"/>
              </w:rPr>
              <w:t xml:space="preserve">10</w:t>
            </w:r>
            <w:r>
              <w:rPr>
                <w:rFonts w:hint="eastAsia" w:ascii="宋体" w:hAnsi="宋体" w:eastAsia="宋体" w:cs="宋体"/>
                <w:color w:val="auto"/>
                <w:szCs w:val="24"/>
                <w:highlight w:val="none"/>
              </w:rPr>
              <w:t xml:space="preserve">分。</w:t>
            </w:r>
            <w:r/>
          </w:p>
          <w:p>
            <w:pPr>
              <w:rPr>
                <w:rFonts w:hint="eastAsia" w:ascii="宋体" w:hAnsi="宋体" w:eastAsia="宋体" w:cs="宋体"/>
                <w:color w:val="auto"/>
                <w:szCs w:val="24"/>
                <w:highlight w:val="none"/>
                <w:lang w:val="en-US" w:eastAsia="zh-CN"/>
              </w:rPr>
            </w:pPr>
            <w:r>
              <w:rPr>
                <w:rFonts w:hint="eastAsia" w:ascii="宋体" w:hAnsi="宋体" w:eastAsia="宋体" w:cs="宋体"/>
                <w:b/>
                <w:bCs/>
                <w:color w:val="auto"/>
                <w:szCs w:val="24"/>
                <w:highlight w:val="none"/>
              </w:rPr>
              <w:t xml:space="preserve">注：</w:t>
            </w:r>
            <w:r>
              <w:rPr>
                <w:rFonts w:hint="eastAsia" w:ascii="宋体" w:hAnsi="宋体" w:eastAsia="宋体" w:cs="宋体"/>
                <w:b/>
                <w:bCs/>
                <w:color w:val="auto"/>
                <w:szCs w:val="24"/>
                <w:highlight w:val="none"/>
                <w:lang w:val="en-US" w:eastAsia="zh-CN"/>
              </w:rPr>
              <w:t xml:space="preserve">响应</w:t>
            </w:r>
            <w:r>
              <w:rPr>
                <w:rFonts w:hint="eastAsia" w:ascii="宋体" w:hAnsi="宋体" w:eastAsia="宋体" w:cs="宋体"/>
                <w:b/>
                <w:bCs/>
                <w:color w:val="auto"/>
                <w:szCs w:val="24"/>
                <w:highlight w:val="none"/>
              </w:rPr>
              <w:t xml:space="preserve">文件中，自有设备须提供发票</w:t>
            </w:r>
            <w:r>
              <w:rPr>
                <w:rFonts w:hint="eastAsia" w:ascii="宋体" w:hAnsi="宋体" w:eastAsia="宋体" w:cs="宋体"/>
                <w:b/>
                <w:bCs/>
                <w:color w:val="auto"/>
                <w:szCs w:val="24"/>
                <w:highlight w:val="none"/>
                <w:lang w:val="en-US" w:eastAsia="zh-CN"/>
              </w:rPr>
              <w:t xml:space="preserve">扫描件</w:t>
            </w:r>
            <w:r>
              <w:rPr>
                <w:rFonts w:hint="eastAsia" w:ascii="宋体" w:hAnsi="宋体" w:eastAsia="宋体" w:cs="宋体"/>
                <w:b/>
                <w:bCs/>
                <w:color w:val="auto"/>
                <w:szCs w:val="24"/>
                <w:highlight w:val="none"/>
              </w:rPr>
              <w:t xml:space="preserve">；租用设备需提供租赁协议；未提供不得分。</w:t>
            </w:r>
            <w:r/>
          </w:p>
        </w:tc>
      </w:tr>
      <w:tr>
        <w:trPr>
          <w:trHeight w:val="454"/>
        </w:trPr>
        <w:tc>
          <w:tcPr>
            <w:tcW w:w="469" w:type="dxa"/>
            <w:vAlign w:val="center"/>
            <w:textDirection w:val="lrTb"/>
            <w:noWrap w:val="false"/>
          </w:tcPr>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p>
        </w:tc>
        <w:tc>
          <w:tcPr>
            <w:tcW w:w="68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项目团队</w:t>
            </w:r>
            <w:r/>
          </w:p>
        </w:tc>
        <w:tc>
          <w:tcPr>
            <w:tcW w:w="439"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4</w:t>
            </w:r>
            <w:r/>
          </w:p>
        </w:tc>
        <w:tc>
          <w:tcPr>
            <w:tcW w:w="3409" w:type="dxa"/>
            <w:vAlign w:val="center"/>
            <w:textDirection w:val="lrTb"/>
            <w:noWrap w:val="false"/>
          </w:tcPr>
          <w:p>
            <w:pPr>
              <w:rPr>
                <w:rFonts w:hint="default"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1、项目负责人（8分）</w:t>
            </w:r>
            <w:r/>
          </w:p>
          <w:p>
            <w:pPr>
              <w:rPr>
                <w:rFonts w:hint="eastAsia" w:ascii="Times New Roman" w:hAnsi="Times New Roman" w:eastAsia="宋体" w:cs="Times New Roman"/>
                <w:b/>
                <w:bCs/>
                <w:color w:val="auto"/>
                <w:szCs w:val="24"/>
                <w:highlight w:val="none"/>
                <w:lang w:val="en-US" w:eastAsia="zh-CN"/>
              </w:rPr>
            </w:pPr>
            <w:r>
              <w:rPr>
                <w:rFonts w:hint="eastAsia" w:ascii="Times New Roman" w:hAnsi="Times New Roman" w:eastAsia="宋体" w:cs="Times New Roman"/>
                <w:color w:val="auto"/>
                <w:szCs w:val="24"/>
                <w:highlight w:val="none"/>
              </w:rPr>
              <w:t xml:space="preserve">拟派项目负责人具有一级建造师(</w:t>
            </w:r>
            <w:r>
              <w:rPr>
                <w:rFonts w:hint="eastAsia" w:ascii="Times New Roman" w:hAnsi="Times New Roman" w:eastAsia="宋体" w:cs="Times New Roman"/>
                <w:color w:val="auto"/>
                <w:szCs w:val="24"/>
                <w:highlight w:val="none"/>
                <w:lang w:val="en-US" w:eastAsia="zh-CN"/>
              </w:rPr>
              <w:t xml:space="preserve">房建或市政专业</w:t>
            </w:r>
            <w:r>
              <w:rPr>
                <w:rFonts w:hint="eastAsia" w:ascii="Times New Roman" w:hAnsi="Times New Roman" w:eastAsia="宋体" w:cs="Times New Roman"/>
                <w:color w:val="auto"/>
                <w:szCs w:val="24"/>
                <w:highlight w:val="none"/>
              </w:rPr>
              <w:t xml:space="preserve">)资格证书的得</w:t>
            </w:r>
            <w:r>
              <w:rPr>
                <w:rFonts w:hint="eastAsia" w:ascii="Times New Roman" w:hAnsi="Times New Roman" w:eastAsia="宋体" w:cs="Times New Roman"/>
                <w:color w:val="auto"/>
                <w:szCs w:val="24"/>
                <w:highlight w:val="none"/>
                <w:lang w:val="en-US" w:eastAsia="zh-CN"/>
              </w:rPr>
              <w:t xml:space="preserve">4</w:t>
            </w:r>
            <w:r>
              <w:rPr>
                <w:rFonts w:hint="eastAsia" w:ascii="Times New Roman" w:hAnsi="Times New Roman" w:eastAsia="宋体" w:cs="Times New Roman"/>
                <w:color w:val="auto"/>
                <w:szCs w:val="24"/>
                <w:highlight w:val="none"/>
              </w:rPr>
              <w:t xml:space="preserve">分，二级建造师(</w:t>
            </w:r>
            <w:r>
              <w:rPr>
                <w:rFonts w:hint="eastAsia" w:ascii="Times New Roman" w:hAnsi="Times New Roman" w:eastAsia="宋体" w:cs="Times New Roman"/>
                <w:color w:val="auto"/>
                <w:szCs w:val="24"/>
                <w:highlight w:val="none"/>
                <w:lang w:val="en-US" w:eastAsia="zh-CN"/>
              </w:rPr>
              <w:t xml:space="preserve">房建或市政专业</w:t>
            </w:r>
            <w:r>
              <w:rPr>
                <w:rFonts w:hint="eastAsia" w:ascii="Times New Roman" w:hAnsi="Times New Roman" w:eastAsia="宋体" w:cs="Times New Roman"/>
                <w:color w:val="auto"/>
                <w:szCs w:val="24"/>
                <w:highlight w:val="none"/>
              </w:rPr>
              <w:t xml:space="preserve">)资格证书的得</w:t>
            </w:r>
            <w:r>
              <w:rPr>
                <w:rFonts w:hint="eastAsia" w:ascii="Times New Roman" w:hAnsi="Times New Roman" w:eastAsia="宋体" w:cs="Times New Roman"/>
                <w:color w:val="auto"/>
                <w:szCs w:val="24"/>
                <w:highlight w:val="none"/>
                <w:lang w:val="en-US" w:eastAsia="zh-CN"/>
              </w:rPr>
              <w:t xml:space="preserve">2</w:t>
            </w:r>
            <w:r>
              <w:rPr>
                <w:rFonts w:hint="eastAsia" w:ascii="Times New Roman" w:hAnsi="Times New Roman" w:eastAsia="宋体" w:cs="Times New Roman"/>
                <w:color w:val="auto"/>
                <w:szCs w:val="24"/>
                <w:highlight w:val="none"/>
              </w:rPr>
              <w:t xml:space="preserve">分</w:t>
            </w:r>
            <w:r>
              <w:rPr>
                <w:rFonts w:hint="eastAsia" w:ascii="Times New Roman" w:hAnsi="Times New Roman" w:eastAsia="宋体" w:cs="Times New Roman"/>
                <w:color w:val="auto"/>
                <w:szCs w:val="24"/>
                <w:highlight w:val="none"/>
                <w:lang w:eastAsia="zh-CN"/>
              </w:rPr>
              <w:t xml:space="preserve">，</w:t>
            </w:r>
            <w:r>
              <w:rPr>
                <w:rFonts w:hint="eastAsia" w:ascii="Times New Roman" w:hAnsi="Times New Roman" w:eastAsia="宋体" w:cs="Times New Roman"/>
                <w:color w:val="auto"/>
                <w:szCs w:val="24"/>
                <w:highlight w:val="none"/>
                <w:lang w:val="en-US" w:eastAsia="zh-CN"/>
              </w:rPr>
              <w:t xml:space="preserve">限评1人，本项最高得4分。</w:t>
            </w:r>
            <w:r>
              <w:rPr>
                <w:rFonts w:hint="eastAsia" w:ascii="Times New Roman" w:hAnsi="Times New Roman" w:eastAsia="宋体" w:cs="Times New Roman"/>
                <w:b/>
                <w:bCs/>
                <w:color w:val="auto"/>
                <w:szCs w:val="24"/>
                <w:highlight w:val="none"/>
                <w:lang w:val="en-US" w:eastAsia="zh-CN"/>
              </w:rPr>
              <w:t xml:space="preserve">（提供注册证书扫描件或电子证照）</w:t>
            </w:r>
            <w:r/>
          </w:p>
          <w:p>
            <w:pPr>
              <w:rPr>
                <w:rFonts w:hint="eastAsia" w:ascii="Times New Roman" w:hAnsi="Times New Roman" w:eastAsia="宋体" w:cs="Times New Roman"/>
                <w:b/>
                <w:bCs/>
                <w:color w:val="auto"/>
                <w:szCs w:val="24"/>
                <w:highlight w:val="none"/>
                <w:lang w:eastAsia="zh-CN"/>
              </w:rPr>
            </w:pPr>
            <w:r>
              <w:rPr>
                <w:rFonts w:hint="eastAsia" w:ascii="Times New Roman" w:hAnsi="Times New Roman" w:eastAsia="宋体" w:cs="Times New Roman"/>
                <w:color w:val="auto"/>
                <w:szCs w:val="24"/>
                <w:highlight w:val="none"/>
                <w:lang w:val="en-US" w:eastAsia="zh-CN"/>
              </w:rPr>
              <w:t xml:space="preserve">拟派</w:t>
            </w:r>
            <w:r>
              <w:rPr>
                <w:rFonts w:hint="eastAsia" w:ascii="Times New Roman" w:hAnsi="Times New Roman" w:eastAsia="宋体" w:cs="Times New Roman"/>
                <w:color w:val="auto"/>
                <w:szCs w:val="24"/>
                <w:highlight w:val="none"/>
              </w:rPr>
              <w:t xml:space="preserve">项目负责人具有高级工程师的得4分，具有中级工程师的得2分，本项最高得4分；</w:t>
            </w:r>
            <w:r>
              <w:rPr>
                <w:rFonts w:hint="eastAsia" w:ascii="Times New Roman" w:hAnsi="Times New Roman" w:eastAsia="宋体" w:cs="Times New Roman"/>
                <w:b/>
                <w:bCs/>
                <w:color w:val="auto"/>
                <w:szCs w:val="24"/>
                <w:highlight w:val="none"/>
                <w:lang w:eastAsia="zh-CN"/>
              </w:rPr>
              <w:t xml:space="preserve">（</w:t>
            </w:r>
            <w:r>
              <w:rPr>
                <w:rFonts w:hint="eastAsia" w:ascii="Times New Roman" w:hAnsi="Times New Roman" w:eastAsia="宋体" w:cs="Times New Roman"/>
                <w:b/>
                <w:bCs/>
                <w:color w:val="auto"/>
                <w:szCs w:val="24"/>
                <w:highlight w:val="none"/>
                <w:lang w:val="en-US" w:eastAsia="zh-CN"/>
              </w:rPr>
              <w:t xml:space="preserve">提供</w:t>
            </w:r>
            <w:r>
              <w:rPr>
                <w:rFonts w:hint="eastAsia" w:ascii="宋体" w:hAnsi="宋体" w:eastAsia="宋体" w:cs="宋体"/>
                <w:b/>
                <w:bCs/>
                <w:color w:val="auto"/>
                <w:szCs w:val="21"/>
                <w:highlight w:val="none"/>
                <w:lang w:val="en-US" w:eastAsia="zh-CN" w:bidi="ar"/>
              </w:rPr>
              <w:t xml:space="preserve">职称证书扫描件</w:t>
            </w:r>
            <w:r>
              <w:rPr>
                <w:rFonts w:hint="eastAsia" w:ascii="Times New Roman" w:hAnsi="Times New Roman" w:eastAsia="宋体" w:cs="Times New Roman"/>
                <w:b/>
                <w:bCs/>
                <w:color w:val="auto"/>
                <w:szCs w:val="24"/>
                <w:highlight w:val="none"/>
                <w:lang w:val="en-US" w:eastAsia="zh-CN"/>
              </w:rPr>
              <w:t xml:space="preserve">或电子证照</w:t>
            </w:r>
            <w:r>
              <w:rPr>
                <w:rFonts w:hint="eastAsia" w:ascii="Times New Roman" w:hAnsi="Times New Roman" w:eastAsia="宋体" w:cs="Times New Roman"/>
                <w:b/>
                <w:bCs/>
                <w:color w:val="auto"/>
                <w:szCs w:val="24"/>
                <w:highlight w:val="none"/>
                <w:lang w:eastAsia="zh-CN"/>
              </w:rPr>
              <w:t xml:space="preserve">）</w:t>
            </w:r>
            <w:r/>
          </w:p>
          <w:p>
            <w:pPr>
              <w:rPr>
                <w:rFonts w:hint="default"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2</w:t>
            </w:r>
            <w:r>
              <w:rPr>
                <w:rFonts w:hint="default" w:ascii="Times New Roman" w:hAnsi="Times New Roman" w:eastAsia="宋体" w:cs="Times New Roman"/>
                <w:b/>
                <w:bCs/>
                <w:color w:val="auto"/>
                <w:szCs w:val="24"/>
                <w:highlight w:val="none"/>
              </w:rPr>
              <w:t xml:space="preserve">、项目</w:t>
            </w:r>
            <w:r>
              <w:rPr>
                <w:rFonts w:hint="eastAsia" w:ascii="Times New Roman" w:hAnsi="Times New Roman" w:eastAsia="宋体" w:cs="Times New Roman"/>
                <w:b/>
                <w:bCs/>
                <w:color w:val="auto"/>
                <w:szCs w:val="24"/>
                <w:highlight w:val="none"/>
                <w:lang w:val="en-US" w:eastAsia="zh-CN"/>
              </w:rPr>
              <w:t xml:space="preserve">组</w:t>
            </w:r>
            <w:r>
              <w:rPr>
                <w:rFonts w:hint="default" w:ascii="Times New Roman" w:hAnsi="Times New Roman" w:eastAsia="宋体" w:cs="Times New Roman"/>
                <w:b/>
                <w:bCs/>
                <w:color w:val="auto"/>
                <w:szCs w:val="24"/>
                <w:highlight w:val="none"/>
              </w:rPr>
              <w:t xml:space="preserve">成员</w:t>
            </w:r>
            <w:r>
              <w:rPr>
                <w:rFonts w:hint="eastAsia" w:ascii="Times New Roman" w:hAnsi="Times New Roman" w:eastAsia="宋体" w:cs="Times New Roman"/>
                <w:b/>
                <w:bCs/>
                <w:color w:val="auto"/>
                <w:szCs w:val="24"/>
                <w:highlight w:val="none"/>
              </w:rPr>
              <w:t xml:space="preserve">（6</w:t>
            </w:r>
            <w:r>
              <w:rPr>
                <w:rFonts w:hint="default" w:ascii="Times New Roman" w:hAnsi="Times New Roman" w:eastAsia="宋体" w:cs="Times New Roman"/>
                <w:b/>
                <w:bCs/>
                <w:color w:val="auto"/>
                <w:szCs w:val="24"/>
                <w:highlight w:val="none"/>
              </w:rPr>
              <w:t xml:space="preserve">分</w:t>
            </w:r>
            <w:r>
              <w:rPr>
                <w:rFonts w:hint="eastAsia" w:ascii="Times New Roman" w:hAnsi="Times New Roman" w:eastAsia="宋体" w:cs="Times New Roman"/>
                <w:b/>
                <w:bCs/>
                <w:color w:val="auto"/>
                <w:szCs w:val="24"/>
                <w:highlight w:val="none"/>
              </w:rPr>
              <w:t xml:space="preserve">）</w:t>
            </w:r>
            <w:r/>
          </w:p>
          <w:p>
            <w:pPr>
              <w:rPr>
                <w:rFonts w:hint="default"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 xml:space="preserve">除项目负责人外，</w:t>
            </w:r>
            <w:r>
              <w:rPr>
                <w:rFonts w:hint="default" w:ascii="Times New Roman" w:hAnsi="Times New Roman" w:eastAsia="宋体" w:cs="Times New Roman"/>
                <w:color w:val="auto"/>
                <w:szCs w:val="24"/>
                <w:highlight w:val="none"/>
              </w:rPr>
              <w:t xml:space="preserve">拟派专业服务人员具有高级工程师的得</w:t>
            </w:r>
            <w:r>
              <w:rPr>
                <w:rFonts w:hint="eastAsia" w:ascii="Times New Roman" w:hAnsi="Times New Roman" w:eastAsia="宋体" w:cs="Times New Roman"/>
                <w:color w:val="auto"/>
                <w:szCs w:val="24"/>
                <w:highlight w:val="none"/>
              </w:rPr>
              <w:t xml:space="preserve">2</w:t>
            </w:r>
            <w:r>
              <w:rPr>
                <w:rFonts w:hint="default" w:ascii="Times New Roman" w:hAnsi="Times New Roman" w:eastAsia="宋体" w:cs="Times New Roman"/>
                <w:color w:val="auto"/>
                <w:szCs w:val="24"/>
                <w:highlight w:val="none"/>
              </w:rPr>
              <w:t xml:space="preserve">分，</w:t>
            </w:r>
            <w:r>
              <w:rPr>
                <w:rFonts w:hint="eastAsia" w:ascii="Times New Roman" w:hAnsi="Times New Roman" w:eastAsia="宋体" w:cs="Times New Roman"/>
                <w:color w:val="auto"/>
                <w:szCs w:val="24"/>
                <w:highlight w:val="none"/>
              </w:rPr>
              <w:t xml:space="preserve">具有工程师的得1</w:t>
            </w:r>
            <w:r>
              <w:rPr>
                <w:rFonts w:hint="default" w:ascii="Times New Roman" w:hAnsi="Times New Roman" w:eastAsia="宋体" w:cs="Times New Roman"/>
                <w:color w:val="auto"/>
                <w:szCs w:val="24"/>
                <w:highlight w:val="none"/>
              </w:rPr>
              <w:t xml:space="preserve">分，本项限评</w:t>
            </w:r>
            <w:r>
              <w:rPr>
                <w:rFonts w:hint="eastAsia" w:ascii="Times New Roman" w:hAnsi="Times New Roman" w:eastAsia="宋体" w:cs="Times New Roman"/>
                <w:color w:val="auto"/>
                <w:szCs w:val="24"/>
                <w:highlight w:val="none"/>
              </w:rPr>
              <w:t xml:space="preserve">3</w:t>
            </w:r>
            <w:r>
              <w:rPr>
                <w:rFonts w:hint="default" w:ascii="Times New Roman" w:hAnsi="Times New Roman" w:eastAsia="宋体" w:cs="Times New Roman"/>
                <w:color w:val="auto"/>
                <w:szCs w:val="24"/>
                <w:highlight w:val="none"/>
              </w:rPr>
              <w:t xml:space="preserve">人，最高得</w:t>
            </w:r>
            <w:r>
              <w:rPr>
                <w:rFonts w:hint="eastAsia" w:ascii="Times New Roman" w:hAnsi="Times New Roman" w:eastAsia="宋体" w:cs="Times New Roman"/>
                <w:color w:val="auto"/>
                <w:szCs w:val="24"/>
                <w:highlight w:val="none"/>
              </w:rPr>
              <w:t xml:space="preserve">6</w:t>
            </w:r>
            <w:r>
              <w:rPr>
                <w:rFonts w:hint="default" w:ascii="Times New Roman" w:hAnsi="Times New Roman" w:eastAsia="宋体" w:cs="Times New Roman"/>
                <w:color w:val="auto"/>
                <w:szCs w:val="24"/>
                <w:highlight w:val="none"/>
              </w:rPr>
              <w:t xml:space="preserve">分。</w:t>
            </w:r>
            <w:r>
              <w:rPr>
                <w:rFonts w:hint="eastAsia" w:ascii="Times New Roman" w:hAnsi="Times New Roman" w:eastAsia="宋体" w:cs="Times New Roman"/>
                <w:b/>
                <w:bCs/>
                <w:color w:val="auto"/>
                <w:szCs w:val="24"/>
                <w:highlight w:val="none"/>
                <w:lang w:eastAsia="zh-CN"/>
              </w:rPr>
              <w:t xml:space="preserve">（</w:t>
            </w:r>
            <w:r>
              <w:rPr>
                <w:rFonts w:hint="eastAsia" w:ascii="Times New Roman" w:hAnsi="Times New Roman" w:eastAsia="宋体" w:cs="Times New Roman"/>
                <w:b/>
                <w:bCs/>
                <w:color w:val="auto"/>
                <w:szCs w:val="24"/>
                <w:highlight w:val="none"/>
                <w:lang w:val="en-US" w:eastAsia="zh-CN"/>
              </w:rPr>
              <w:t xml:space="preserve">提供</w:t>
            </w:r>
            <w:r>
              <w:rPr>
                <w:rFonts w:hint="eastAsia" w:ascii="宋体" w:hAnsi="宋体" w:eastAsia="宋体" w:cs="宋体"/>
                <w:b/>
                <w:bCs/>
                <w:color w:val="auto"/>
                <w:szCs w:val="21"/>
                <w:highlight w:val="none"/>
                <w:lang w:val="en-US" w:eastAsia="zh-CN" w:bidi="ar"/>
              </w:rPr>
              <w:t xml:space="preserve">职称证书扫描件</w:t>
            </w:r>
            <w:r>
              <w:rPr>
                <w:rFonts w:hint="eastAsia" w:ascii="Times New Roman" w:hAnsi="Times New Roman" w:eastAsia="宋体" w:cs="Times New Roman"/>
                <w:b/>
                <w:bCs/>
                <w:color w:val="auto"/>
                <w:szCs w:val="24"/>
                <w:highlight w:val="none"/>
                <w:lang w:val="en-US" w:eastAsia="zh-CN"/>
              </w:rPr>
              <w:t xml:space="preserve">或电子证照</w:t>
            </w:r>
            <w:r>
              <w:rPr>
                <w:rFonts w:hint="eastAsia" w:ascii="Times New Roman" w:hAnsi="Times New Roman" w:eastAsia="宋体" w:cs="Times New Roman"/>
                <w:b/>
                <w:bCs/>
                <w:color w:val="auto"/>
                <w:szCs w:val="24"/>
                <w:highlight w:val="none"/>
                <w:lang w:eastAsia="zh-CN"/>
              </w:rPr>
              <w:t xml:space="preserve">）</w:t>
            </w:r>
            <w:r/>
          </w:p>
          <w:p>
            <w:pPr>
              <w:rPr>
                <w:rFonts w:hint="default"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注：</w:t>
            </w:r>
            <w:r/>
          </w:p>
          <w:p>
            <w:pPr>
              <w:jc w:val="left"/>
              <w:spacing w:after="0" w:line="240" w:lineRule="auto"/>
              <w:widowControl/>
              <w:rPr>
                <w:rFonts w:hint="default" w:ascii="宋体" w:hAnsi="宋体" w:eastAsia="宋体" w:cs="宋体"/>
                <w:b/>
                <w:bCs/>
                <w:color w:val="auto"/>
                <w:szCs w:val="21"/>
                <w:highlight w:val="none"/>
                <w:lang w:val="en-US" w:eastAsia="zh-CN" w:bidi="ar"/>
              </w:rPr>
            </w:pPr>
            <w:r>
              <w:rPr>
                <w:rFonts w:hint="eastAsia" w:ascii="宋体" w:hAnsi="宋体" w:eastAsia="宋体" w:cs="宋体"/>
                <w:b/>
                <w:bCs/>
                <w:color w:val="auto"/>
                <w:szCs w:val="21"/>
                <w:highlight w:val="none"/>
                <w:lang w:val="en-US" w:eastAsia="zh-CN" w:bidi="ar"/>
              </w:rPr>
              <w:t xml:space="preserve">1、若相关证照为电子证书的，须符合发证部门的使用要求；</w:t>
            </w:r>
            <w:r/>
          </w:p>
          <w:p>
            <w:pPr>
              <w:jc w:val="left"/>
              <w:spacing w:after="0" w:line="240" w:lineRule="auto"/>
              <w:widowControl/>
              <w:rPr>
                <w:rFonts w:hint="eastAsia" w:ascii="宋体" w:hAnsi="宋体" w:eastAsia="宋体" w:cs="宋体"/>
                <w:color w:val="auto"/>
                <w:szCs w:val="24"/>
                <w:highlight w:val="none"/>
              </w:rPr>
            </w:pPr>
            <w:r>
              <w:rPr>
                <w:rFonts w:hint="eastAsia" w:ascii="宋体" w:hAnsi="宋体" w:eastAsia="宋体" w:cs="Times New Roman"/>
                <w:b/>
                <w:bCs/>
                <w:color w:val="auto"/>
                <w:szCs w:val="21"/>
                <w:highlight w:val="none"/>
                <w:lang w:val="en-US" w:eastAsia="zh-CN"/>
              </w:rPr>
              <w:t xml:space="preserve">2、提供供应商</w:t>
            </w:r>
            <w:r>
              <w:rPr>
                <w:rFonts w:hint="eastAsia" w:ascii="宋体" w:hAnsi="宋体" w:eastAsia="宋体" w:cs="Times New Roman"/>
                <w:b/>
                <w:bCs/>
                <w:color w:val="auto"/>
                <w:szCs w:val="21"/>
                <w:highlight w:val="none"/>
              </w:rPr>
              <w:t xml:space="preserve">为其</w:t>
            </w:r>
            <w:r>
              <w:rPr>
                <w:rFonts w:hint="eastAsia" w:ascii="宋体" w:hAnsi="宋体" w:eastAsia="宋体" w:cs="Times New Roman"/>
                <w:b/>
                <w:bCs/>
                <w:color w:val="auto"/>
                <w:szCs w:val="21"/>
                <w:highlight w:val="none"/>
                <w:lang w:val="en-US" w:eastAsia="zh-CN"/>
              </w:rPr>
              <w:t xml:space="preserve">项目团队成员</w:t>
            </w:r>
            <w:r>
              <w:rPr>
                <w:rFonts w:hint="eastAsia" w:ascii="宋体" w:hAnsi="宋体" w:eastAsia="宋体" w:cs="Times New Roman"/>
                <w:b/>
                <w:bCs/>
                <w:color w:val="auto"/>
                <w:szCs w:val="21"/>
                <w:highlight w:val="none"/>
              </w:rPr>
              <w:t xml:space="preserve">缴纳的社保证明（缴纳时间为：202</w:t>
            </w:r>
            <w:r>
              <w:rPr>
                <w:rFonts w:hint="eastAsia" w:ascii="宋体" w:hAnsi="宋体" w:eastAsia="宋体" w:cs="Times New Roman"/>
                <w:b/>
                <w:bCs/>
                <w:color w:val="auto"/>
                <w:szCs w:val="21"/>
                <w:highlight w:val="none"/>
                <w:lang w:val="en-US" w:eastAsia="zh-CN"/>
              </w:rPr>
              <w:t xml:space="preserve">6</w:t>
            </w:r>
            <w:r>
              <w:rPr>
                <w:rFonts w:hint="eastAsia" w:ascii="宋体" w:hAnsi="宋体" w:eastAsia="宋体" w:cs="Times New Roman"/>
                <w:b/>
                <w:bCs/>
                <w:color w:val="auto"/>
                <w:szCs w:val="21"/>
                <w:highlight w:val="none"/>
              </w:rPr>
              <w:t xml:space="preserve">年</w:t>
            </w:r>
            <w:r>
              <w:rPr>
                <w:rFonts w:hint="eastAsia" w:ascii="宋体" w:hAnsi="宋体" w:eastAsia="宋体" w:cs="Times New Roman"/>
                <w:b/>
                <w:bCs/>
                <w:color w:val="auto"/>
                <w:szCs w:val="21"/>
                <w:highlight w:val="none"/>
                <w:lang w:val="en-US" w:eastAsia="zh-CN"/>
              </w:rPr>
              <w:t xml:space="preserve">1</w:t>
            </w:r>
            <w:r>
              <w:rPr>
                <w:rFonts w:hint="eastAsia" w:ascii="宋体" w:hAnsi="宋体" w:eastAsia="宋体" w:cs="Times New Roman"/>
                <w:b/>
                <w:bCs/>
                <w:color w:val="auto"/>
                <w:szCs w:val="21"/>
                <w:highlight w:val="none"/>
              </w:rPr>
              <w:t xml:space="preserve">月-</w:t>
            </w:r>
            <w:r>
              <w:rPr>
                <w:rFonts w:hint="eastAsia" w:ascii="宋体" w:hAnsi="宋体" w:eastAsia="宋体" w:cs="Times New Roman"/>
                <w:b/>
                <w:bCs/>
                <w:color w:val="auto"/>
                <w:szCs w:val="21"/>
                <w:highlight w:val="none"/>
                <w:lang w:val="en-US" w:eastAsia="zh-CN"/>
              </w:rPr>
              <w:t xml:space="preserve">2026</w:t>
            </w:r>
            <w:r>
              <w:rPr>
                <w:rFonts w:hint="eastAsia" w:ascii="宋体" w:hAnsi="宋体" w:eastAsia="宋体" w:cs="Times New Roman"/>
                <w:b/>
                <w:bCs/>
                <w:color w:val="auto"/>
                <w:szCs w:val="21"/>
                <w:highlight w:val="none"/>
              </w:rPr>
              <w:t xml:space="preserve">年</w:t>
            </w:r>
            <w:r>
              <w:rPr>
                <w:rFonts w:hint="eastAsia" w:ascii="宋体" w:hAnsi="宋体" w:eastAsia="宋体" w:cs="Times New Roman"/>
                <w:b/>
                <w:bCs/>
                <w:color w:val="auto"/>
                <w:szCs w:val="21"/>
                <w:highlight w:val="none"/>
                <w:lang w:val="en-US" w:eastAsia="zh-CN"/>
              </w:rPr>
              <w:t xml:space="preserve">3</w:t>
            </w:r>
            <w:r>
              <w:rPr>
                <w:rFonts w:hint="eastAsia" w:ascii="宋体" w:hAnsi="宋体" w:eastAsia="宋体" w:cs="Times New Roman"/>
                <w:b/>
                <w:bCs/>
                <w:color w:val="auto"/>
                <w:szCs w:val="21"/>
                <w:highlight w:val="none"/>
              </w:rPr>
              <w:t xml:space="preserve">月期间连续3个月）</w:t>
            </w:r>
            <w:r/>
          </w:p>
        </w:tc>
      </w:tr>
    </w:tbl>
    <w:p>
      <w:pPr>
        <w:spacing w:line="360" w:lineRule="auto"/>
        <w:tabs>
          <w:tab w:val="left" w:pos="10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本项目评分细则中需要提供的相关证明材料由供应商自行提供，评审专家根据投标供应商提供的相关证明材料进行评审，相关证明材料的全面性、有效性、完整性、真实性由供应商自行负责。如发现投标供应商涉嫌资料造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虚假承诺</w:t>
      </w:r>
      <w:r>
        <w:rPr>
          <w:rFonts w:hint="eastAsia" w:ascii="宋体" w:hAnsi="宋体" w:eastAsia="宋体" w:cs="宋体"/>
          <w:b/>
          <w:bCs/>
          <w:color w:val="auto"/>
          <w:szCs w:val="21"/>
          <w:highlight w:val="none"/>
        </w:rPr>
        <w:t xml:space="preserve">等，采购人将取消其中标资格，并保留进一步追究其法律责任的权利。</w:t>
      </w:r>
      <w:r/>
    </w:p>
    <w:p>
      <w:pPr>
        <w:ind w:left="0" w:firstLine="0"/>
        <w:rPr>
          <w:rFonts w:hint="eastAsia"/>
          <w:color w:val="auto"/>
          <w:highlight w:val="none"/>
        </w:rPr>
        <w:sectPr>
          <w:footerReference w:type="default" r:id="rId19"/>
          <w:footnotePr/>
          <w:endnotePr/>
          <w:type w:val="nextPage"/>
          <w:pgSz w:w="11907" w:h="16840" w:orient="portrait"/>
          <w:pgMar w:top="1417" w:right="1587" w:bottom="1417" w:left="1587" w:header="737" w:footer="851" w:gutter="0"/>
          <w:cols w:num="1" w:sep="0" w:space="1701" w:equalWidth="1"/>
          <w:docGrid w:linePitch="360"/>
        </w:sectPr>
      </w:pPr>
      <w:r>
        <w:rPr>
          <w:rFonts w:hint="eastAsia"/>
          <w:color w:val="auto"/>
          <w:highlight w:val="none"/>
        </w:rPr>
      </w:r>
      <w:r/>
    </w:p>
    <w:p>
      <w:pPr>
        <w:ind w:firstLine="482"/>
        <w:jc w:val="center"/>
        <w:spacing w:line="360" w:lineRule="auto"/>
        <w:tabs>
          <w:tab w:val="left" w:pos="360" w:leader="none"/>
          <w:tab w:val="left" w:pos="1080" w:leader="none"/>
        </w:tabs>
        <w:rPr>
          <w:rFonts w:hint="eastAsia" w:ascii="宋体" w:hAnsi="宋体" w:eastAsia="宋体" w:cs="宋体"/>
          <w:b/>
          <w:color w:val="auto"/>
          <w:sz w:val="36"/>
          <w:szCs w:val="36"/>
          <w:highlight w:val="none"/>
        </w:rPr>
      </w:pPr>
      <w:r/>
      <w:bookmarkStart w:id="704" w:name="_Toc99301424"/>
      <w:r>
        <w:rPr>
          <w:rFonts w:hint="eastAsia" w:ascii="宋体" w:hAnsi="宋体" w:eastAsia="宋体" w:cs="宋体"/>
          <w:b/>
          <w:color w:val="auto"/>
          <w:sz w:val="36"/>
          <w:szCs w:val="36"/>
          <w:highlight w:val="none"/>
        </w:rPr>
        <w:t xml:space="preserve">第五章   采购需求</w:t>
      </w:r>
      <w:bookmarkEnd w:id="704"/>
      <w:r/>
      <w:r/>
    </w:p>
    <w:p>
      <w:pPr>
        <w:ind w:firstLine="482"/>
        <w:jc w:val="left"/>
        <w:spacing w:line="360" w:lineRule="auto"/>
        <w:rPr>
          <w:rFonts w:hint="eastAsia" w:ascii="宋体" w:hAnsi="宋体" w:eastAsia="宋体" w:cs="宋体"/>
          <w:b/>
          <w:bCs/>
          <w:color w:val="auto"/>
          <w:sz w:val="24"/>
          <w:szCs w:val="24"/>
          <w:highlight w:val="none"/>
        </w:rPr>
      </w:pPr>
      <w:r/>
      <w:bookmarkStart w:id="705" w:name="_Hlk173240141"/>
      <w:r>
        <w:rPr>
          <w:rFonts w:hint="eastAsia" w:ascii="宋体" w:hAnsi="宋体" w:eastAsia="宋体" w:cs="宋体"/>
          <w:b/>
          <w:bCs/>
          <w:color w:val="auto"/>
          <w:sz w:val="24"/>
          <w:szCs w:val="24"/>
          <w:highlight w:val="none"/>
        </w:rPr>
        <w:t xml:space="preserve">一、主要内容：</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位于常州市天宁经济开发区，地块位于大明北路东侧、龙锦路南侧地块，该项目固废填埋的面积约为4318m2，填埋固废方量约为18913.45m3，预计固废总重约为35935.555t；另计算得到清挖过程可能产生的基坑水量约为1254.66t。为顺利推进地块出让工作，开展该地块的固废混合物合规化处置，完成全部工作量，并通过最终验收。</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rPr>
        <w:t xml:space="preserve">、服务期限要求：</w:t>
      </w:r>
      <w:r>
        <w:rPr>
          <w:rFonts w:hint="eastAsia" w:ascii="宋体" w:hAnsi="宋体" w:cs="Times New Roman"/>
          <w:color w:val="auto"/>
          <w:sz w:val="24"/>
          <w:szCs w:val="24"/>
          <w:highlight w:val="none"/>
          <w:lang w:val="en-US" w:eastAsia="zh-CN"/>
        </w:rPr>
        <w:t xml:space="preserve">80日历天</w:t>
      </w:r>
      <w:r>
        <w:rPr>
          <w:rFonts w:hint="eastAsia" w:ascii="宋体" w:hAnsi="宋体" w:eastAsia="宋体" w:cs="Times New Roman"/>
          <w:color w:val="auto"/>
          <w:sz w:val="24"/>
          <w:szCs w:val="24"/>
          <w:highlight w:val="none"/>
          <w:lang w:val="en-US" w:eastAsia="zh-CN"/>
        </w:rPr>
        <w:t xml:space="preserve">，起算时间以采购人通知时间为准</w:t>
      </w:r>
      <w:r>
        <w:rPr>
          <w:rFonts w:hint="eastAsia" w:ascii="宋体" w:hAnsi="宋体" w:eastAsia="宋体" w:cs="Times New Roman"/>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三、服务内容：</w:t>
      </w:r>
      <w:bookmarkEnd w:id="705"/>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场地处理：基础建设设施，车辆停放区、建设临时道路、废水暂存区、基础建设设施，包括但不限于原便道加铺碎石面层或浇筑砼路面，投标单位自行踏勘现场综合考虑施工方案,满足运输以及人员通行的需要等。</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固废混合物</w:t>
      </w:r>
      <w:r>
        <w:rPr>
          <w:rFonts w:hint="eastAsia" w:ascii="宋体" w:hAnsi="宋体" w:eastAsia="宋体" w:cs="宋体"/>
          <w:bCs/>
          <w:color w:val="auto"/>
          <w:sz w:val="24"/>
          <w:szCs w:val="24"/>
          <w:highlight w:val="none"/>
          <w:lang w:val="en-US" w:eastAsia="zh-CN"/>
        </w:rPr>
        <w:t xml:space="preserve">挖掘、处置等</w:t>
      </w:r>
      <w:r/>
    </w:p>
    <w:p>
      <w:pPr>
        <w:ind w:firstLine="48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w:t>
      </w:r>
      <w:r>
        <w:rPr>
          <w:rFonts w:hint="eastAsia" w:ascii="宋体" w:hAnsi="宋体" w:cs="宋体"/>
          <w:bCs/>
          <w:color w:val="auto"/>
          <w:sz w:val="24"/>
          <w:szCs w:val="24"/>
          <w:highlight w:val="none"/>
          <w:lang w:val="en-US" w:eastAsia="zh-CN"/>
        </w:rPr>
        <w:t xml:space="preserve">固废混合物</w:t>
      </w:r>
      <w:r>
        <w:rPr>
          <w:rFonts w:ascii="宋体" w:hAnsi="宋体" w:eastAsia="宋体" w:cs="宋体"/>
          <w:bCs/>
          <w:color w:val="auto"/>
          <w:sz w:val="24"/>
          <w:szCs w:val="24"/>
          <w:highlight w:val="none"/>
          <w:lang w:val="en-US" w:eastAsia="zh-CN"/>
        </w:rPr>
        <w:t xml:space="preserve">转运：含翻挖、人工配合清挖，短驳，配合称重、装车等；</w:t>
      </w:r>
      <w:r>
        <w:rPr>
          <w:rFonts w:hint="eastAsia" w:ascii="宋体" w:hAnsi="宋体" w:eastAsia="宋体" w:cs="宋体"/>
          <w:bCs/>
          <w:color w:val="auto"/>
          <w:sz w:val="24"/>
          <w:szCs w:val="24"/>
          <w:highlight w:val="none"/>
          <w:lang w:val="en-US" w:eastAsia="zh-CN"/>
        </w:rPr>
        <w:t xml:space="preserve">固废混合物</w:t>
      </w:r>
      <w:r>
        <w:rPr>
          <w:rFonts w:hint="eastAsia" w:ascii="宋体" w:hAnsi="宋体" w:cs="宋体"/>
          <w:bCs/>
          <w:color w:val="auto"/>
          <w:sz w:val="24"/>
          <w:szCs w:val="24"/>
          <w:highlight w:val="none"/>
          <w:lang w:val="en-US" w:eastAsia="zh-CN"/>
        </w:rPr>
        <w:t xml:space="preserve">运至处置单位进行筛分、处置（筛分后分类处理）</w:t>
      </w:r>
      <w:r>
        <w:rPr>
          <w:rFonts w:ascii="宋体" w:hAnsi="宋体" w:eastAsia="宋体" w:cs="宋体"/>
          <w:bCs/>
          <w:color w:val="auto"/>
          <w:sz w:val="24"/>
          <w:szCs w:val="24"/>
          <w:highlight w:val="none"/>
          <w:lang w:val="en-US" w:eastAsia="zh-CN"/>
        </w:rPr>
        <w:t xml:space="preserve">；外运方式及运距自行考虑；</w:t>
      </w:r>
      <w:r>
        <w:rPr>
          <w:rFonts w:hint="eastAsia" w:ascii="宋体" w:hAnsi="宋体" w:cs="宋体"/>
          <w:bCs/>
          <w:color w:val="auto"/>
          <w:sz w:val="24"/>
          <w:szCs w:val="24"/>
          <w:highlight w:val="none"/>
          <w:lang w:val="en-US" w:eastAsia="zh-CN"/>
        </w:rPr>
        <w:t xml:space="preserve">固废混合物</w:t>
      </w:r>
      <w:r>
        <w:rPr>
          <w:rFonts w:ascii="宋体" w:hAnsi="宋体" w:eastAsia="宋体" w:cs="宋体"/>
          <w:bCs/>
          <w:color w:val="auto"/>
          <w:sz w:val="24"/>
          <w:szCs w:val="24"/>
          <w:highlight w:val="none"/>
          <w:lang w:val="en-US" w:eastAsia="zh-CN"/>
        </w:rPr>
        <w:t xml:space="preserve">外运按相关规范执行，且运输过程需全程监测及控制，确保不产生二次污染</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w:t>
      </w:r>
      <w:r>
        <w:rPr>
          <w:rFonts w:hint="eastAsia" w:ascii="宋体" w:hAnsi="宋体" w:cs="宋体"/>
          <w:bCs/>
          <w:color w:val="auto"/>
          <w:sz w:val="24"/>
          <w:szCs w:val="24"/>
          <w:highlight w:val="none"/>
          <w:lang w:val="en-US" w:eastAsia="zh-CN"/>
        </w:rPr>
        <w:t xml:space="preserve">处置单位</w:t>
      </w:r>
      <w:r>
        <w:rPr>
          <w:rFonts w:hint="eastAsia" w:ascii="宋体" w:hAnsi="宋体" w:eastAsia="宋体" w:cs="宋体"/>
          <w:bCs/>
          <w:color w:val="auto"/>
          <w:sz w:val="24"/>
          <w:szCs w:val="24"/>
          <w:highlight w:val="none"/>
          <w:lang w:val="en-US" w:eastAsia="zh-CN"/>
        </w:rPr>
        <w:t xml:space="preserve">协同处置：运至</w:t>
      </w:r>
      <w:r>
        <w:rPr>
          <w:rFonts w:hint="eastAsia" w:ascii="宋体" w:hAnsi="宋体" w:cs="宋体"/>
          <w:bCs/>
          <w:color w:val="auto"/>
          <w:sz w:val="24"/>
          <w:szCs w:val="24"/>
          <w:highlight w:val="none"/>
          <w:lang w:val="en-US" w:eastAsia="zh-CN"/>
        </w:rPr>
        <w:t xml:space="preserve">处置单位</w:t>
      </w:r>
      <w:r>
        <w:rPr>
          <w:rFonts w:hint="eastAsia" w:ascii="宋体" w:hAnsi="宋体" w:eastAsia="宋体" w:cs="宋体"/>
          <w:bCs/>
          <w:color w:val="auto"/>
          <w:sz w:val="24"/>
          <w:szCs w:val="24"/>
          <w:highlight w:val="none"/>
          <w:lang w:val="en-US" w:eastAsia="zh-CN"/>
        </w:rPr>
        <w:t xml:space="preserve">后，称重并进行</w:t>
      </w:r>
      <w:r>
        <w:rPr>
          <w:rFonts w:hint="eastAsia" w:ascii="宋体" w:hAnsi="宋体" w:cs="宋体"/>
          <w:bCs/>
          <w:color w:val="auto"/>
          <w:sz w:val="24"/>
          <w:szCs w:val="24"/>
          <w:highlight w:val="none"/>
          <w:lang w:val="en-US" w:eastAsia="zh-CN"/>
        </w:rPr>
        <w:t xml:space="preserve">筛分</w:t>
      </w:r>
      <w:r>
        <w:rPr>
          <w:rFonts w:hint="eastAsia" w:ascii="宋体" w:hAnsi="宋体" w:eastAsia="宋体" w:cs="宋体"/>
          <w:bCs/>
          <w:color w:val="auto"/>
          <w:sz w:val="24"/>
          <w:szCs w:val="24"/>
          <w:highlight w:val="none"/>
          <w:lang w:val="en-US" w:eastAsia="zh-CN"/>
        </w:rPr>
        <w:t xml:space="preserve">检测，满足</w:t>
      </w:r>
      <w:r>
        <w:rPr>
          <w:rFonts w:hint="eastAsia" w:ascii="宋体" w:hAnsi="宋体" w:cs="宋体"/>
          <w:bCs/>
          <w:color w:val="auto"/>
          <w:sz w:val="24"/>
          <w:szCs w:val="24"/>
          <w:highlight w:val="none"/>
          <w:lang w:val="en-US" w:eastAsia="zh-CN"/>
        </w:rPr>
        <w:t xml:space="preserve">要求</w:t>
      </w:r>
      <w:r>
        <w:rPr>
          <w:rFonts w:hint="eastAsia" w:ascii="宋体" w:hAnsi="宋体" w:eastAsia="宋体" w:cs="宋体"/>
          <w:bCs/>
          <w:color w:val="auto"/>
          <w:sz w:val="24"/>
          <w:szCs w:val="24"/>
          <w:highlight w:val="none"/>
          <w:lang w:val="en-US" w:eastAsia="zh-CN"/>
        </w:rPr>
        <w:t xml:space="preserve">后</w:t>
      </w:r>
      <w:r>
        <w:rPr>
          <w:rFonts w:hint="eastAsia" w:ascii="宋体" w:hAnsi="宋体" w:cs="宋体"/>
          <w:bCs/>
          <w:color w:val="auto"/>
          <w:sz w:val="24"/>
          <w:szCs w:val="24"/>
          <w:highlight w:val="none"/>
          <w:lang w:val="en-US" w:eastAsia="zh-CN"/>
        </w:rPr>
        <w:t xml:space="preserve">按规范</w:t>
      </w:r>
      <w:r>
        <w:rPr>
          <w:rFonts w:hint="eastAsia" w:ascii="宋体" w:hAnsi="宋体" w:eastAsia="宋体" w:cs="宋体"/>
          <w:bCs/>
          <w:color w:val="auto"/>
          <w:sz w:val="24"/>
          <w:szCs w:val="24"/>
          <w:highlight w:val="none"/>
          <w:lang w:val="en-US" w:eastAsia="zh-CN"/>
        </w:rPr>
        <w:t xml:space="preserve">进行处置；满足设计、规范及方案要求。</w:t>
      </w:r>
      <w:r/>
    </w:p>
    <w:p>
      <w:pPr>
        <w:ind w:firstLine="48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3.废水处理</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3.1废水处置，施工范围内产生废水处理：含收集、处理及外运处置；收集、处理及外运处置方式自行考虑；满足设计、规范及方案要求。</w:t>
      </w:r>
      <w:r/>
    </w:p>
    <w:p>
      <w:pPr>
        <w:ind w:firstLine="48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3.2废水处理设备，购买污染水处理设施及设备：一体化水处理设备、支架水池、相关配套设施、耗材、使用；设备规格、数量等均需满足满足设计、规范及方案要求。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.成交供应商应将项目实施计划、质量保证措施、转运及处置进度等各类材料由采购人审核，审核通过后方可实施。实施计划等要求不得低于</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文件中工作要求。成交供应商需考虑完成本项目可能发生的情况，超出合同金额的，不再另行增加费用。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 成交供应商实施过程中各类终端处置单位应具备处置类别的环评批复或经环保主管部门的批复许可等相关证明材料，确保</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和废水合规处置。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 成交供应商应在成交一周内完成转运手续办理，具备转运条件。成交供应商及终端处置单位的接收及处置能力需满足现场工期需求，保障地块现场的</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和废水及时转运。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转运前需编制转运计划，按照管理要求负责相关转运处置手续办理，成交一周内完成转运手续办理，具备转运条件。手续包括但不限于有关环保、交通、环卫、城管、综合执法部门等手续，并承担相关费用。提供的车辆总转运能力满足现场工期需求，且车辆必须防渗漏及密闭，满足现场现有道路的行驶，现场需派专人对车辆进出场进行协调，施工期间保证场内相邻道路的畅通；派驻专人在终端单位负责接收；所有外运车辆必须确保密闭运输，</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不遗撒，废水不泄露，车辆冲洗干净后方可出场，施工单位派专人负责车辆清洗；所有运输车辆必须并按照转运计划中路线转运，转运过程执行转移联单制度。</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成交供应商应严格落实施工期间二次污染防治措施（包含但不限于处置方案明确的二次污染防治措施），合理安排作业时间，尽可能避免对周边环境产生影响。出场后运输途中的道路清洗均由成交供应商负责。成交供应商在实施过程中造成二次污染或其他第三方损害的，成交供应商负责整改到位并且承担由此产生的一切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 成交供应商必须确保现场安全，在实施过程中发生的所有安全事故均由成交供应商承担全部责任和后果。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 成交供应商未经招标人同意，不得对相关方案进行变更否，否则一切责任和后果均由成交供应商全部承担，采购人有权无条件终止本项目的服务合同。成交供应商在成交后项目实施期间，如需变更方案，应书面进行变更可行性分析，并履行相关变更手续，必要时进行专家论证，经各方确认后方可变更。变更所产生的费用均包含在合同价中，不再另外增加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采购人若委托验收单位、监理及跟踪审计单位参与本项目，成交供应商需配合参建单位的工作要求。采购人同时会专门委托相关审计单位。成交供应商应当为项目参建单位、采购人的检查、检验、验收等提供必要协助。未经采购人同意的不利物质条件造成的工期延误及费用增加由成交供应商自行承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.由于成交供应商原因引起的验收不合格而引起的工期延误及其它返工等一切经济损失由成交供应商承担。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.由成交供应商原因而引起的工期延误，造成的其他施工单位损失均由成交供应商负责。</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根据固废勘探调查结果，本项目地块内均填埋有不同深度的固废，固废主要包含碎石、砖瓦等建筑垃圾和塑料制品、布料、蛇皮袋等生活垃圾及土壤的混合物，固废性状主要呈现灰黑色、有异味；此外，大部分挖坑内可见基坑水渗出，水体呈现灰黑色且有异味。</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固废勘探过程中共采集了6个土壤样品和3个基坑渗水样品(作为地下水样品)，并送检实验室开展了污染成分分析，检测结果：①土壤：土壤样品所检因子含量均满足《土壤环境质量建设用地土壤污染风险管控标准(试行)》(GB 3660</w:t>
      </w:r>
      <w:r>
        <w:rPr>
          <w:rFonts w:hint="eastAsia" w:ascii="宋体" w:hAnsi="宋体" w:eastAsia="宋体" w:cs="宋体"/>
          <w:b w:val="0"/>
          <w:bCs/>
          <w:color w:val="auto"/>
          <w:sz w:val="24"/>
          <w:szCs w:val="24"/>
          <w:highlight w:val="none"/>
          <w:lang w:val="en-US" w:eastAsia="zh-CN"/>
        </w:rPr>
        <w:t xml:space="preserve">0-2018)、《江苏省地方标准建设用地土壤污染风险筛选值》(DB32/T 4712-2024)第二类用地筛选值标准以及《污染场地风险评估电子表格》(2024年12月13日)第二层次风险评估筛选模型计算输出的第二类建设用地风险控制值。②地下水：地下水品共检出浊度、色度、总硬度、溶解性总固体、硫酸盐、高锰酸钾指数、氨氮、硫化物和苯并[b]荧蒽计8项指标浓度数据超《地下水质量标准》(GB/T 14848-2017)Ⅳ类水质标准，其他检出指标均不超《地下水质量标准》(GB/T 14848-2017)Ⅳ类水质标准。</w:t>
      </w:r>
      <w:r/>
    </w:p>
    <w:p>
      <w:pPr>
        <w:ind w:firstLine="48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注：以上为不完全统计，需供应商自行勘察评估现场情况。</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★16.承诺函（格式见附件12）</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四、质量及安全要求</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按照处置方案要求的范围及方量进行开挖、筛分，筛分后的土、生活垃圾和</w:t>
      </w:r>
      <w:r>
        <w:rPr>
          <w:rFonts w:hint="eastAsia" w:ascii="宋体" w:hAnsi="宋体" w:cs="宋体"/>
          <w:b w:val="0"/>
          <w:bCs/>
          <w:color w:val="auto"/>
          <w:sz w:val="24"/>
          <w:szCs w:val="24"/>
          <w:highlight w:val="none"/>
          <w:lang w:eastAsia="zh-CN"/>
        </w:rPr>
        <w:t xml:space="preserve">固废混合物</w:t>
      </w:r>
      <w:r>
        <w:rPr>
          <w:rFonts w:hint="eastAsia" w:ascii="宋体" w:hAnsi="宋体" w:eastAsia="宋体" w:cs="宋体"/>
          <w:b w:val="0"/>
          <w:bCs/>
          <w:color w:val="auto"/>
          <w:sz w:val="24"/>
          <w:szCs w:val="24"/>
          <w:highlight w:val="none"/>
        </w:rPr>
        <w:t xml:space="preserve">、建筑垃圾以及废水均按照处置方案要求进行规范处置。项目结束后，需达到验收要求，通过验收。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成交供应商</w:t>
      </w:r>
      <w:r>
        <w:rPr>
          <w:rFonts w:hint="eastAsia" w:ascii="宋体" w:hAnsi="宋体" w:eastAsia="宋体" w:cs="宋体"/>
          <w:b w:val="0"/>
          <w:bCs/>
          <w:color w:val="auto"/>
          <w:sz w:val="24"/>
          <w:szCs w:val="24"/>
          <w:highlight w:val="none"/>
        </w:rPr>
        <w:t xml:space="preserve">负责办理各相关部门的手续。</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、验收标准</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1.本项目验收标准、验收内容、验收程序、合格判定条件均按照国家及地方现行有效规范执行。</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本项目对</w:t>
      </w:r>
      <w:r>
        <w:rPr>
          <w:rFonts w:hint="eastAsia" w:ascii="宋体" w:hAnsi="宋体" w:cs="宋体"/>
          <w:bCs/>
          <w:color w:val="auto"/>
          <w:sz w:val="24"/>
          <w:szCs w:val="24"/>
          <w:highlight w:val="none"/>
          <w:lang w:eastAsia="zh-CN"/>
        </w:rPr>
        <w:t xml:space="preserve">固废混合物</w:t>
      </w:r>
      <w:r>
        <w:rPr>
          <w:rFonts w:hint="eastAsia" w:ascii="宋体" w:hAnsi="宋体" w:eastAsia="宋体" w:cs="宋体"/>
          <w:bCs/>
          <w:color w:val="auto"/>
          <w:sz w:val="24"/>
          <w:szCs w:val="24"/>
          <w:highlight w:val="none"/>
        </w:rPr>
        <w:t xml:space="preserve">和废水外运处置等满足处置方案、</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文件、验收要求及相关环保法律法规等要求，确保项目通过验收及专家评审。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、保密要求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成交供应商负责对采购人所提供资料及最终成果保密，成交供应商及其专业技术人员需遵守采购人的保密规定，不以任何形式将收集的所有资料、数据等进行泄漏、传播。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成交供应商需签署相关保密协议，承担工作中接触相关内容的保密义务。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3.项目成果所有权归属采购人，在项目完成时成交供应商必须全部移交，不得以任何形式公开项目信息。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4.成交供应商须维护项目服务成果，不得转让给第三方重复使用。</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5.以上保密规定如有违反，采购人有权追究成交供应商相关法律责任并有权不进行费用结算。</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、报价方式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地块内固体废物清理、处置及场地整理工作，最终场地恢复形式、标高控制及表层处理要求，以甲方现场书面指令为准。投标人应综合考虑场地平整、表层处理、覆土、压实等各类可能的施工内容及相关费用，无论甲方最终确定采用何种场地恢复方式，投标人均应无条件执行，甲方不因此增加任何费用、不调整合同价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本项目为</w:t>
      </w:r>
      <w:r>
        <w:rPr>
          <w:rFonts w:hint="eastAsia" w:ascii="宋体" w:hAnsi="宋体" w:eastAsia="宋体" w:cs="宋体"/>
          <w:bCs/>
          <w:color w:val="auto"/>
          <w:sz w:val="24"/>
          <w:szCs w:val="24"/>
          <w:highlight w:val="none"/>
          <w:lang w:eastAsia="zh-CN"/>
        </w:rPr>
        <w:t xml:space="preserve">固定单价</w:t>
      </w:r>
      <w:r>
        <w:rPr>
          <w:rFonts w:hint="eastAsia" w:ascii="宋体" w:hAnsi="宋体" w:eastAsia="宋体" w:cs="宋体"/>
          <w:bCs/>
          <w:color w:val="auto"/>
          <w:sz w:val="24"/>
          <w:szCs w:val="24"/>
          <w:highlight w:val="none"/>
        </w:rPr>
        <w:t xml:space="preserve">，投标单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2"/>
          <w:highlight w:val="none"/>
        </w:rPr>
        <w:t xml:space="preserve">★</w:t>
      </w:r>
      <w:r>
        <w:rPr>
          <w:rFonts w:hint="eastAsia" w:ascii="宋体" w:hAnsi="宋体" w:eastAsia="宋体" w:cs="Times New Roman"/>
          <w:b/>
          <w:bCs/>
          <w:color w:val="auto"/>
          <w:sz w:val="24"/>
          <w:szCs w:val="22"/>
          <w:highlight w:val="none"/>
        </w:rPr>
        <w:t xml:space="preserve">注：固定单价，按实结算，且合同结算金额不超过中标金额，提供承诺函（格式自拟），否则作无效投标处理。</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3、工程量清单</w:t>
      </w:r>
      <w:r/>
    </w:p>
    <w:tbl>
      <w:tblPr>
        <w:tblStyle w:val="937"/>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623"/>
        <w:gridCol w:w="3913"/>
        <w:gridCol w:w="856"/>
        <w:gridCol w:w="1237"/>
        <w:gridCol w:w="1238"/>
      </w:tblGrid>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名称</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内容详情</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单位</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工程量</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备注</w:t>
            </w:r>
            <w:r/>
          </w:p>
        </w:tc>
      </w:tr>
      <w:tr>
        <w:trPr>
          <w:jc w:val="center"/>
          <w:trHeight w:val="454"/>
        </w:trPr>
        <w:tc>
          <w:tcPr>
            <w:tcBorders>
              <w:top w:val="single" w:color="auto" w:sz="4" w:space="0"/>
              <w:left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1</w:t>
            </w:r>
            <w:r/>
          </w:p>
        </w:tc>
        <w:tc>
          <w:tcPr>
            <w:tcBorders>
              <w:top w:val="single" w:color="auto" w:sz="4" w:space="0"/>
              <w:left w:val="none" w:color="000000"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场地基础建设</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临水临电、场地平整、临时办公区临时道路等</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2</w:t>
            </w:r>
            <w:r/>
          </w:p>
        </w:tc>
        <w:tc>
          <w:tcPr>
            <w:tcBorders>
              <w:top w:val="single" w:color="auto" w:sz="4" w:space="0"/>
              <w:left w:val="none" w:color="000000"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基坑支护及降水</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地块南侧建设基坑支护并于地块内降水施工</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m</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90</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3</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b/>
                <w:bCs/>
                <w:color w:val="auto"/>
                <w:sz w:val="18"/>
                <w:szCs w:val="18"/>
                <w:highlight w:val="none"/>
                <w:lang w:eastAsia="zh-CN"/>
              </w:rPr>
            </w:pPr>
            <w:r>
              <w:rPr>
                <w:rFonts w:hint="eastAsia" w:ascii="宋体" w:hAnsi="宋体" w:eastAsia="宋体" w:cs="宋体"/>
                <w:color w:val="auto"/>
                <w:sz w:val="18"/>
                <w:szCs w:val="18"/>
                <w:highlight w:val="none"/>
                <w:lang w:eastAsia="zh-CN"/>
              </w:rPr>
              <w:t xml:space="preserve">综合处置服务</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t xml:space="preserve">填埋混合物开挖、短驳劳务服务,运输、筛分、处置服务;建筑垃圾、土壤和生活垃圾的处置服务</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吨</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35935.536</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清洁土与回填压实</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采用清洁土对清挖的基坑回填压实</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m³</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18913.44</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废水处理</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基坑水、降水废水、冲洗废水收集、暂存和外运</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吨</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1964.66</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rPr>
              <w:t xml:space="preserve">4</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二次污染防治</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扬尘控制、人员防护、气味抑制剂及喷洒设备、防治表层堆土二次污染使用的防尘网、彩条布、其他二次污染防治等</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环境检测</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清挖区域环境空气、声环境、基坑等检测服务</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竣工报告</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编制竣工报告</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838" w:type="pct"/>
            <w:vAlign w:val="center"/>
            <w:textDirection w:val="lrTb"/>
            <w:noWrap w:val="false"/>
          </w:tcPr>
          <w:p>
            <w:pPr>
              <w:jc w:val="center"/>
              <w:spacing w:line="50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其他</w:t>
            </w:r>
            <w:r/>
          </w:p>
        </w:tc>
        <w:tc>
          <w:tcPr>
            <w:tcBorders>
              <w:top w:val="single" w:color="auto" w:sz="4" w:space="0"/>
              <w:left w:val="none" w:color="000000" w:sz="4" w:space="0"/>
              <w:bottom w:val="single" w:color="auto" w:sz="4" w:space="0"/>
              <w:right w:val="single" w:color="auto" w:sz="4" w:space="0"/>
            </w:tcBorders>
            <w:tcW w:w="2020" w:type="pct"/>
            <w:vAlign w:val="center"/>
            <w:textDirection w:val="lrTb"/>
            <w:noWrap w:val="false"/>
          </w:tcPr>
          <w:p>
            <w:pPr>
              <w:jc w:val="center"/>
              <w:spacing w:line="500" w:lineRule="exact"/>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 xml:space="preserve">规费、税金等</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279" w:type="pct"/>
            <w:vAlign w:val="center"/>
            <w:textDirection w:val="lrTb"/>
            <w:noWrap w:val="false"/>
          </w:tcPr>
          <w:p>
            <w:pPr>
              <w:jc w:val="center"/>
              <w:spacing w:line="500" w:lineRule="exac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合计</w:t>
            </w:r>
            <w:r/>
          </w:p>
        </w:tc>
        <w:tc>
          <w:tcPr>
            <w:tcBorders>
              <w:top w:val="single" w:color="auto" w:sz="4" w:space="0"/>
              <w:left w:val="none" w:color="000000" w:sz="4" w:space="0"/>
              <w:bottom w:val="single" w:color="auto" w:sz="4" w:space="0"/>
              <w:right w:val="single" w:color="auto" w:sz="4" w:space="0"/>
            </w:tcBorders>
            <w:tcW w:w="442"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spacing w:line="5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r>
    </w:tbl>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注：以上为预估工程量，实际以甲方通知为准。超出预估工程量的不再额外支付相关费用。</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、付款方式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合同签订后支付合同价的30%；项目筛分量达到1.8万吨（如需审计的需经审计后），支付至合同价的50%；项目验收完成并（如需审计后）付至</w:t>
      </w:r>
      <w:r>
        <w:rPr>
          <w:rFonts w:hint="eastAsia" w:ascii="宋体" w:hAnsi="宋体" w:eastAsia="宋体" w:cs="宋体"/>
          <w:color w:val="auto"/>
          <w:sz w:val="24"/>
          <w:szCs w:val="24"/>
          <w:highlight w:val="none"/>
          <w:lang w:val="en-US" w:eastAsia="zh-CN"/>
        </w:rPr>
        <w:t xml:space="preserve">合同价(</w:t>
      </w:r>
      <w:r>
        <w:rPr>
          <w:rFonts w:hint="eastAsia" w:ascii="宋体" w:hAnsi="宋体" w:eastAsia="宋体" w:cs="宋体"/>
          <w:color w:val="auto"/>
          <w:sz w:val="24"/>
          <w:szCs w:val="24"/>
          <w:highlight w:val="none"/>
          <w:lang w:eastAsia="zh-CN"/>
        </w:rPr>
        <w:t xml:space="preserve">审定价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的100%。</w:t>
      </w:r>
      <w:r/>
    </w:p>
    <w:p>
      <w:pPr>
        <w:numPr>
          <w:ilvl w:val="0"/>
          <w:numId w:val="11"/>
        </w:numPr>
        <w:ind w:firstLine="48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项目地点及地块红线范围</w:t>
      </w:r>
      <w:r/>
    </w:p>
    <w:p>
      <w:pPr>
        <w:jc w:val="center"/>
        <w:spacing w:line="360" w:lineRule="auto"/>
        <w:rPr>
          <w:rFonts w:hint="eastAsia" w:ascii="Times New Roman" w:hAnsi="Times New Roman" w:eastAsia="宋体" w:cs="Times New Roman"/>
          <w:b/>
          <w:color w:val="auto"/>
          <w:sz w:val="36"/>
          <w:szCs w:val="36"/>
          <w:highlight w:val="none"/>
          <w:lang w:eastAsia="zh-CN"/>
        </w:rPr>
        <w:outlineLvl w:val="9"/>
      </w:pPr>
      <w:r>
        <w:rPr>
          <w:rFonts w:hint="eastAsia" w:ascii="Times New Roman" w:hAnsi="Times New Roman" w:eastAsia="宋体" w:cs="Times New Roman"/>
          <w:b/>
          <w:color w:val="auto"/>
          <w:sz w:val="36"/>
          <w:szCs w:val="36"/>
          <w:highlight w:val="none"/>
          <w:lang w:eastAsia="zh-CN"/>
        </w:rPr>
        <mc:AlternateContent>
          <mc:Choice Requires="wpg">
            <w:drawing>
              <wp:inline xmlns:wp="http://schemas.openxmlformats.org/drawingml/2006/wordprocessingDrawing" distT="0" distB="0" distL="0" distR="0">
                <wp:extent cx="5756275" cy="8557260"/>
                <wp:effectExtent l="0" t="0" r="15875" b="15240"/>
                <wp:docPr id="6"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
                        <pic:cNvPicPr>
                          <a:picLocks noChangeAspect="1"/>
                        </pic:cNvPicPr>
                        <pic:nvPr/>
                      </pic:nvPicPr>
                      <pic:blipFill>
                        <a:blip r:embed="rId24"/>
                        <a:stretch/>
                      </pic:blipFill>
                      <pic:spPr bwMode="auto">
                        <a:xfrm>
                          <a:off x="0" y="0"/>
                          <a:ext cx="5756275" cy="855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2pt;height:673.8pt;mso-wrap-distance-left:0.0pt;mso-wrap-distance-top:0.0pt;mso-wrap-distance-right:0.0pt;mso-wrap-distance-bottom:0.0pt;" stroked="f">
                <v:path textboxrect="0,0,0,0"/>
                <v:imagedata r:id="rId24" o:title=""/>
              </v:shape>
            </w:pict>
          </mc:Fallback>
        </mc:AlternateContent>
      </w:r>
      <w:r/>
    </w:p>
    <w:p>
      <w:pPr>
        <w:jc w:val="center"/>
        <w:spacing w:line="360" w:lineRule="auto"/>
        <w:rPr>
          <w:rFonts w:hint="eastAsia" w:ascii="Times New Roman" w:hAnsi="Times New Roman" w:eastAsia="宋体" w:cs="Times New Roman"/>
          <w:b/>
          <w:color w:val="auto"/>
          <w:sz w:val="36"/>
          <w:szCs w:val="36"/>
          <w:highlight w:val="none"/>
          <w:lang w:eastAsia="zh-CN"/>
        </w:rPr>
        <w:outlineLvl w:val="9"/>
      </w:pPr>
      <w:r>
        <w:rPr>
          <w:rFonts w:hint="eastAsia" w:ascii="Times New Roman" w:hAnsi="Times New Roman" w:eastAsia="宋体" w:cs="Times New Roman"/>
          <w:b/>
          <w:color w:val="auto"/>
          <w:sz w:val="36"/>
          <w:szCs w:val="36"/>
          <w:highlight w:val="none"/>
          <w:lang w:eastAsia="zh-CN"/>
        </w:rPr>
        <mc:AlternateContent>
          <mc:Choice Requires="wpg">
            <w:drawing>
              <wp:inline xmlns:wp="http://schemas.openxmlformats.org/drawingml/2006/wordprocessingDrawing" distT="0" distB="0" distL="0" distR="0">
                <wp:extent cx="5755640" cy="3653790"/>
                <wp:effectExtent l="0" t="0" r="16510" b="3810"/>
                <wp:docPr id="7" name="图片 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1"/>
                        <pic:cNvPicPr>
                          <a:picLocks noChangeAspect="1"/>
                        </pic:cNvPicPr>
                        <pic:nvPr/>
                      </pic:nvPicPr>
                      <pic:blipFill>
                        <a:blip r:embed="rId25"/>
                        <a:stretch/>
                      </pic:blipFill>
                      <pic:spPr bwMode="auto">
                        <a:xfrm>
                          <a:off x="0" y="0"/>
                          <a:ext cx="5755640" cy="3653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2pt;height:287.7pt;mso-wrap-distance-left:0.0pt;mso-wrap-distance-top:0.0pt;mso-wrap-distance-right:0.0pt;mso-wrap-distance-bottom:0.0pt;" stroked="f">
                <v:path textboxrect="0,0,0,0"/>
                <v:imagedata r:id="rId25" o:title=""/>
              </v:shape>
            </w:pict>
          </mc:Fallback>
        </mc:AlternateContent>
      </w:r>
      <w:r/>
    </w:p>
    <w:p>
      <w:pPr>
        <w:jc w:val="center"/>
        <w:spacing w:line="360" w:lineRule="auto"/>
        <w:rPr>
          <w:rFonts w:hint="eastAsia" w:ascii="Times New Roman" w:hAnsi="Times New Roman" w:eastAsia="宋体" w:cs="Times New Roman"/>
          <w:b/>
          <w:color w:val="auto"/>
          <w:sz w:val="24"/>
          <w:szCs w:val="24"/>
          <w:highlight w:val="none"/>
          <w:lang w:val="en-US" w:eastAsia="zh-CN"/>
        </w:rPr>
        <w:outlineLvl w:val="9"/>
      </w:pPr>
      <w:r>
        <w:rPr>
          <w:rFonts w:hint="eastAsia" w:ascii="Times New Roman" w:hAnsi="Times New Roman" w:eastAsia="宋体" w:cs="Times New Roman"/>
          <w:b/>
          <w:color w:val="auto"/>
          <w:sz w:val="24"/>
          <w:szCs w:val="24"/>
          <w:highlight w:val="none"/>
          <w:lang w:val="en-US" w:eastAsia="zh-CN"/>
        </w:rPr>
        <w:t xml:space="preserve">本项目地块周边关系图（2025年历史影像图）</w:t>
      </w:r>
      <w:r/>
    </w:p>
    <w:p>
      <w:pPr>
        <w:ind w:left="0" w:firstLine="0"/>
        <w:jc w:val="both"/>
        <w:spacing w:after="120" w:line="48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b/>
          <w:color w:val="auto"/>
          <w:sz w:val="24"/>
          <w:szCs w:val="24"/>
          <w:highlight w:val="none"/>
          <w:lang w:val="en-US" w:eastAsia="zh-CN"/>
        </w:rPr>
        <w:t xml:space="preserve">注：标注图片仅为示意图，实际以现场为准。</w:t>
      </w:r>
      <w:r>
        <w:rPr>
          <w:rFonts w:ascii="Times New Roman" w:hAnsi="Times New Roman" w:eastAsia="宋体" w:cs="Times New Roman"/>
          <w:b/>
          <w:color w:val="auto"/>
          <w:sz w:val="36"/>
          <w:szCs w:val="36"/>
          <w:highlight w:val="none"/>
        </w:rPr>
        <w:br w:type="page" w:clear="all"/>
      </w:r>
      <w:r/>
    </w:p>
    <w:p>
      <w:pPr>
        <w:jc w:val="center"/>
        <w:spacing w:line="360" w:lineRule="auto"/>
        <w:rPr>
          <w:rFonts w:ascii="Times New Roman" w:hAnsi="Times New Roman" w:eastAsia="宋体" w:cs="Times New Roman"/>
          <w:b/>
          <w:color w:val="auto"/>
          <w:sz w:val="36"/>
          <w:szCs w:val="36"/>
          <w:highlight w:val="none"/>
        </w:rPr>
        <w:outlineLvl w:val="9"/>
      </w:pPr>
      <w:r>
        <w:rPr>
          <w:rFonts w:ascii="Times New Roman" w:hAnsi="Times New Roman" w:eastAsia="宋体" w:cs="Times New Roman"/>
          <w:b/>
          <w:color w:val="auto"/>
          <w:sz w:val="36"/>
          <w:szCs w:val="36"/>
          <w:highlight w:val="none"/>
        </w:rPr>
        <w:t xml:space="preserve">第</w:t>
      </w:r>
      <w:r>
        <w:rPr>
          <w:rFonts w:hint="eastAsia" w:ascii="Times New Roman" w:hAnsi="Times New Roman" w:eastAsia="宋体" w:cs="Times New Roman"/>
          <w:b/>
          <w:color w:val="auto"/>
          <w:sz w:val="36"/>
          <w:szCs w:val="36"/>
          <w:highlight w:val="none"/>
          <w:lang w:val="en-US" w:eastAsia="zh-CN"/>
        </w:rPr>
        <w:t xml:space="preserve">五</w:t>
      </w:r>
      <w:r>
        <w:rPr>
          <w:rFonts w:ascii="Times New Roman" w:hAnsi="Times New Roman" w:eastAsia="宋体" w:cs="Times New Roman"/>
          <w:b/>
          <w:color w:val="auto"/>
          <w:sz w:val="36"/>
          <w:szCs w:val="36"/>
          <w:highlight w:val="none"/>
        </w:rPr>
        <w:t xml:space="preserve">章   拟签订的合同文本</w:t>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lang w:val="zh-CN"/>
        </w:rPr>
        <w:t xml:space="preserve">（以下简称甲方）</w:t>
      </w:r>
      <w:r/>
    </w:p>
    <w:p>
      <w:pPr>
        <w:ind w:firstLine="480"/>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乙方：（中标单位全称）</w:t>
      </w:r>
      <w:r>
        <w:rPr>
          <w:rFonts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lang w:val="zh-CN"/>
        </w:rPr>
        <w:t xml:space="preserve">（以下简称乙方）</w:t>
      </w:r>
      <w:r/>
    </w:p>
    <w:p>
      <w:pPr>
        <w:ind w:firstLine="5520"/>
        <w:jc w:val="left"/>
        <w:spacing w:line="4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合同时间: </w:t>
      </w:r>
      <w:r>
        <w:rPr>
          <w:rFonts w:hint="eastAsia" w:ascii="宋体" w:hAnsi="宋体" w:eastAsia="宋体" w:cs="宋体"/>
          <w:color w:val="auto"/>
          <w:sz w:val="24"/>
          <w:szCs w:val="24"/>
          <w:highlight w:val="none"/>
          <w:u w:val="single"/>
          <w:lang w:val="en-US" w:eastAsia="zh-CN" w:bidi="ar-SA"/>
        </w:rPr>
        <w:t xml:space="preserve">    年   月   日</w:t>
      </w:r>
      <w:r/>
    </w:p>
    <w:p>
      <w:pPr>
        <w:ind w:firstLine="480"/>
        <w:jc w:val="left"/>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甲乙双方依据《中华人民共和国民法典》以及有关法律、法规的规定，经协商一致，订立本合同，以便共同遵守。</w:t>
      </w:r>
      <w:r/>
    </w:p>
    <w:p>
      <w:pPr>
        <w:ind w:firstLine="482"/>
        <w:jc w:val="both"/>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第一条 合同标的</w:t>
      </w:r>
      <w:r/>
    </w:p>
    <w:p>
      <w:pPr>
        <w:ind w:firstLine="480"/>
        <w:jc w:val="left"/>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乙方根据甲方需求提供下列服务：</w:t>
      </w:r>
      <w:r>
        <w:rPr>
          <w:rFonts w:hint="eastAsia" w:ascii="宋体" w:hAnsi="宋体" w:eastAsia="宋体" w:cs="宋体"/>
          <w:color w:val="auto"/>
          <w:sz w:val="24"/>
          <w:szCs w:val="24"/>
          <w:highlight w:val="none"/>
          <w:u w:val="single"/>
          <w:lang w:val="zh-CN"/>
        </w:rPr>
        <w:t xml:space="preserve">                    </w:t>
      </w:r>
      <w:r>
        <w:rPr>
          <w:rFonts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系指根据合同规定乙方须承担与服务有关的所有辅助服务</w:t>
      </w:r>
      <w:r>
        <w:rPr>
          <w:rFonts w:hint="eastAsia" w:ascii="宋体" w:hAnsi="宋体" w:eastAsia="宋体" w:cs="宋体"/>
          <w:color w:val="auto"/>
          <w:sz w:val="24"/>
          <w:szCs w:val="24"/>
          <w:highlight w:val="none"/>
          <w:lang w:val="zh-CN"/>
        </w:rPr>
        <w:t xml:space="preserve">。</w:t>
      </w:r>
      <w:r/>
    </w:p>
    <w:p>
      <w:pPr>
        <w:ind w:firstLine="480"/>
        <w:jc w:val="left"/>
        <w:spacing w:line="3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合同履行期：</w:t>
      </w:r>
      <w:r/>
    </w:p>
    <w:p>
      <w:pPr>
        <w:ind w:firstLine="482"/>
        <w:jc w:val="both"/>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第二条 合同价格</w:t>
      </w:r>
      <w:r/>
    </w:p>
    <w:p>
      <w:pPr>
        <w:ind w:firstLine="482"/>
        <w:jc w:val="left"/>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签约合同总价（人民币，下同）：</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元（小写：</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 </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价包括但不限于招标文件所确定的招标范围内相应服务的提供、人员（包括工资和补贴等）、办公场所及设施、保险、劳保、管理、各种税费、利润、税金、政策性文件规定及合同包含的所有风险、责任等各项应有费用，以及乙方为完成该项服务项目所涉及到的一切相关费用和应当提供的伴随服务/售后服务费用；除本合同总价款外，甲方无需再支付其他任何费用。</w:t>
      </w:r>
      <w:r/>
    </w:p>
    <w:p>
      <w:pPr>
        <w:ind w:firstLine="482"/>
        <w:jc w:val="both"/>
        <w:spacing w:line="36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第三条 合同履行期限</w:t>
      </w:r>
      <w:r/>
    </w:p>
    <w:p>
      <w:pPr>
        <w:ind w:firstLine="482"/>
        <w:jc w:val="both"/>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1.本项目合同履行期限</w:t>
      </w:r>
      <w:r>
        <w:rPr>
          <w:rFonts w:hint="eastAsia" w:ascii="宋体" w:hAnsi="宋体" w:cs="宋体"/>
          <w:b w:val="0"/>
          <w:bCs/>
          <w:color w:val="auto"/>
          <w:sz w:val="24"/>
          <w:szCs w:val="24"/>
          <w:highlight w:val="none"/>
          <w:lang w:val="en-US" w:eastAsia="zh-CN" w:bidi="ar-SA"/>
        </w:rPr>
        <w:t xml:space="preserve">80日历天</w:t>
      </w:r>
      <w:r>
        <w:rPr>
          <w:rFonts w:hint="eastAsia" w:ascii="宋体" w:hAnsi="宋体" w:eastAsia="宋体" w:cs="宋体"/>
          <w:b w:val="0"/>
          <w:bCs/>
          <w:color w:val="auto"/>
          <w:sz w:val="24"/>
          <w:szCs w:val="24"/>
          <w:highlight w:val="none"/>
          <w:lang w:val="en-US" w:eastAsia="zh-CN" w:bidi="ar-SA"/>
        </w:rPr>
        <w:t xml:space="preserve">，起算时间以甲方通知时间为准。</w:t>
      </w:r>
      <w:r/>
    </w:p>
    <w:p>
      <w:pPr>
        <w:ind w:firstLine="482"/>
        <w:jc w:val="both"/>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2.乙方需严格按照甲方确定的工期计划完成全部固废处置工作，包括但不限于现场清理、处置施工、资料报备、验收移交等全部合同内容，非因甲方原因及不可抗力因素，工期不予顺延。</w:t>
      </w:r>
      <w:r/>
    </w:p>
    <w:p>
      <w:pPr>
        <w:ind w:firstLine="482"/>
        <w:jc w:val="both"/>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第三条 组成本合同的有关文件</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下列与本次采购活动有关的文件及有关附件是本合同不可分割的组成部分，与本合同具有同等法律效力，这些文件包括但不限于：</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（1）采购文件（编号：   ）               （2）乙方提供的响应文件； </w:t>
      </w:r>
      <w:r/>
    </w:p>
    <w:p>
      <w:pPr>
        <w:ind w:firstLine="480"/>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（3）中标（成交）通知书；                （4）甲乙双方商定的其他文件等。</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合同款结算及支付</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2.本合同项下的采购资金由甲方自行支付，乙方向甲方开具发票。</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3.结算方式：</w:t>
      </w:r>
      <w:r>
        <w:rPr>
          <w:rFonts w:hint="eastAsia" w:ascii="宋体" w:hAnsi="宋体" w:eastAsia="宋体" w:cs="宋体"/>
          <w:color w:val="auto"/>
          <w:sz w:val="24"/>
          <w:szCs w:val="24"/>
          <w:highlight w:val="none"/>
          <w:lang w:eastAsia="zh-CN"/>
        </w:rPr>
        <w:t xml:space="preserve">固定单价</w:t>
      </w:r>
      <w:r>
        <w:rPr>
          <w:rFonts w:hint="eastAsia" w:ascii="宋体" w:hAnsi="宋体" w:eastAsia="宋体" w:cs="宋体"/>
          <w:color w:val="auto"/>
          <w:sz w:val="24"/>
          <w:szCs w:val="24"/>
          <w:highlight w:val="none"/>
        </w:rPr>
        <w:t xml:space="preserve">，按实结算。</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w:t>
      </w:r>
      <w:r/>
    </w:p>
    <w:p>
      <w:pPr>
        <w:ind w:firstLine="480"/>
        <w:spacing w:line="3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合同签订后支付合同价的30%；项目筛分量达到1.8万吨（如需审计的需经审计后），支付至合同价的50%；项目验收完成并（如需审计后）付至</w:t>
      </w:r>
      <w:r>
        <w:rPr>
          <w:rFonts w:hint="eastAsia" w:ascii="宋体" w:hAnsi="宋体" w:eastAsia="宋体" w:cs="Times New Roman"/>
          <w:color w:val="auto"/>
          <w:sz w:val="24"/>
          <w:szCs w:val="24"/>
          <w:highlight w:val="none"/>
          <w:lang w:val="en-US" w:eastAsia="zh-CN"/>
        </w:rPr>
        <w:t xml:space="preserve">合同价(</w:t>
      </w:r>
      <w:r>
        <w:rPr>
          <w:rFonts w:hint="eastAsia" w:ascii="宋体" w:hAnsi="宋体" w:eastAsia="宋体" w:cs="Times New Roman"/>
          <w:color w:val="auto"/>
          <w:sz w:val="24"/>
          <w:szCs w:val="24"/>
          <w:highlight w:val="none"/>
          <w:lang w:eastAsia="zh-CN"/>
        </w:rPr>
        <w:t xml:space="preserve">审定价</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的100%。</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1.如乙方不能按约定进行服务的，甲方有权提前解除合同，同时有权要求乙方按照合同总价5%的标准向甲方支付违约金，解除合同的通知自发出之日生效。</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2.因财政拨付周期或支付进度等问题导致逾期付款，甲方不承担任何违约责任。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3.乙方未按本合同的规定和“服务承诺”提供伴随服务的，甲方有权提前解除本合同，同时乙方应按合同总价款的5%向甲方支付违约金并承担相应的违约责任。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4.乙方在承担上述一项或多项违约责任后，仍应继续履行合同规定的义务（甲方选择提前解除合同的除外）。甲方未能及时追究乙方的任何一项违约责任并不表明甲方放弃追究乙方该项或其他违约责任。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5.乙方投标属虚假承诺，或是由于乙方的过错造成合同无法继续履行的，应按合同总价的30%向甲方支付违约金，若该违约金不足以弥补甲方损失的，则乙方应当赔偿甲方所有损失。</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乙方未按本合同约定工期完成全部项目工作的，每逾期一天，需向甲方支付违约金，违约金按以下标准分段计算：</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（1）逾期1-10天（含第10天）的，每日违约金为人民币1000元；</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（2）逾期超过10天的，从第11天起至实际完工之日止，每日违约金为人民币3000元。</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上述违约金甲方有权直接从合同工程款、履约保证金中直接扣除，若违约金不足以弥补甲方损失的，乙方仍需另行赔偿。</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乙方逾期完工超过20天的，甲方有权单方面解除本合同，乙方除支付上述违约金外，还需退还甲方已支付的全部款项，并赔偿甲方全部经济损失。</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合同的变更和终止</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 合同的转让</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不可抗力</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争议的解决</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）种方式解决争议：</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（1）向甲方所在地人民法院提起诉讼；</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（2）向甲方所在地仲裁委员会按其仲裁规则申请仲裁。</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如没有约定，默认采取第1种方式解决争议。</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2.在法院审理和仲裁期间，除有争议部分外，本合同其他部分应继续履行。</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乙方应诚实信用，严格按照招标文件要求和投标承诺履行合同，不向甲方进行商业贿赂或者提供不正当利益。</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合同生效及其他</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1.本合同自经甲乙双方授权代表签订并加盖公章之日起生效。见证方仅对甲乙双方签订采购合同的事实进行见证，不代表任何承诺或保证，该合同的履行等相关情况均与见证方无任何关系。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2.本合同一式伍份，甲乙双方各执贰份，见证方执壹份存档，每份均具有同等法律效力。</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before="120" w:line="22" w:lineRule="atLeast"/>
        <w:widowControl w:val="off"/>
        <w:rPr>
          <w:rFonts w:hint="default" w:ascii="宋体" w:hAnsi="宋体" w:eastAsia="宋体" w:cs="Times New Roman"/>
          <w:color w:val="auto"/>
          <w:sz w:val="24"/>
          <w:szCs w:val="24"/>
          <w:highlight w:val="none"/>
          <w:lang w:val="zh-CN" w:eastAsia="zh-CN" w:bidi="ar-SA"/>
        </w:rPr>
      </w:pPr>
      <w:r>
        <w:rPr>
          <w:rFonts w:hint="default" w:ascii="宋体" w:hAnsi="宋体" w:eastAsia="宋体" w:cs="Times New Roman"/>
          <w:color w:val="auto"/>
          <w:sz w:val="24"/>
          <w:szCs w:val="24"/>
          <w:highlight w:val="none"/>
          <w:lang w:val="zh-CN" w:eastAsia="zh-CN" w:bidi="ar-SA"/>
        </w:rPr>
      </w:r>
      <w:r/>
    </w:p>
    <w:tbl>
      <w:tblPr>
        <w:tblStyle w:val="93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31"/>
        <w:gridCol w:w="424"/>
        <w:gridCol w:w="4631"/>
      </w:tblGrid>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rPr>
              <w:t xml:space="preserve">甲方（采购人）：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乙方（供应商）：</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地址：</w:t>
            </w:r>
            <w:r>
              <w:rPr>
                <w:rFonts w:hint="eastAsia" w:ascii="宋体" w:hAnsi="宋体" w:eastAsia="宋体" w:cs="Times New Roman"/>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地址：</w:t>
            </w:r>
            <w:r>
              <w:rPr>
                <w:rFonts w:hint="eastAsia" w:ascii="宋体" w:hAnsi="宋体" w:eastAsia="宋体" w:cs="Times New Roman"/>
                <w:bCs/>
                <w:color w:val="auto"/>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法定（授权）代表人：</w:t>
            </w:r>
            <w:r>
              <w:rPr>
                <w:rFonts w:hint="eastAsia" w:ascii="宋体" w:hAnsi="宋体" w:eastAsia="宋体" w:cs="Times New Roman"/>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法定（授权）代表人：</w:t>
            </w:r>
            <w:r>
              <w:rPr>
                <w:rFonts w:hint="eastAsia" w:ascii="宋体" w:hAnsi="宋体" w:eastAsia="宋体" w:cs="Times New Roman"/>
                <w:bCs/>
                <w:color w:val="auto"/>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见证方：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见证方代表：</w:t>
            </w:r>
            <w:r>
              <w:rPr>
                <w:rFonts w:hint="eastAsia" w:ascii="宋体" w:hAnsi="宋体" w:eastAsia="宋体" w:cs="Times New Roman"/>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spacing w:line="360" w:lineRule="auto"/>
        <w:rPr>
          <w:rFonts w:ascii="宋体" w:hAnsi="宋体" w:eastAsia="宋体" w:cs="宋体"/>
          <w:color w:val="auto"/>
          <w:sz w:val="24"/>
          <w:szCs w:val="24"/>
          <w:highlight w:val="none"/>
          <w:lang w:val="zh-CN"/>
        </w:rPr>
        <w:outlineLvl w:val="2"/>
      </w:pPr>
      <w:r>
        <w:rPr>
          <w:rFonts w:ascii="宋体" w:hAnsi="宋体" w:eastAsia="宋体" w:cs="宋体"/>
          <w:color w:val="auto"/>
          <w:sz w:val="24"/>
          <w:szCs w:val="24"/>
          <w:highlight w:val="none"/>
          <w:lang w:val="zh-CN"/>
        </w:rPr>
      </w:r>
      <w:r/>
    </w:p>
    <w:p>
      <w:pPr>
        <w:spacing w:line="360" w:lineRule="auto"/>
        <w:rPr>
          <w:rFonts w:ascii="宋体" w:hAnsi="宋体" w:eastAsia="宋体" w:cs="宋体"/>
          <w:color w:val="auto"/>
          <w:sz w:val="24"/>
          <w:szCs w:val="24"/>
          <w:highlight w:val="none"/>
          <w:lang w:val="zh-CN"/>
        </w:rPr>
        <w:outlineLvl w:val="2"/>
      </w:pPr>
      <w:r>
        <w:rPr>
          <w:rFonts w:ascii="宋体" w:hAnsi="宋体" w:eastAsia="宋体" w:cs="宋体"/>
          <w:color w:val="auto"/>
          <w:sz w:val="24"/>
          <w:szCs w:val="24"/>
          <w:highlight w:val="none"/>
          <w:lang w:val="zh-CN"/>
        </w:rPr>
      </w:r>
      <w:r/>
    </w:p>
    <w:p>
      <w:pPr>
        <w:jc w:val="center"/>
        <w:spacing w:line="360" w:lineRule="auto"/>
        <w:rPr>
          <w:rFonts w:hint="eastAsia"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以上格式仅供参考</w:t>
      </w:r>
      <w:r>
        <w:rPr>
          <w:rFonts w:hint="eastAsia" w:ascii="宋体" w:hAnsi="宋体" w:eastAsia="宋体" w:cs="宋体"/>
          <w:b/>
          <w:color w:val="auto"/>
          <w:sz w:val="24"/>
          <w:szCs w:val="24"/>
          <w:highlight w:val="none"/>
        </w:rPr>
        <w:t xml:space="preserve">，合同条款最终以双方签定为准。</w:t>
      </w:r>
      <w:r/>
    </w:p>
    <w:p>
      <w:pPr>
        <w:jc w:val="center"/>
        <w:spacing w:line="360" w:lineRule="auto"/>
        <w:rPr>
          <w:rFonts w:hint="default" w:ascii="Times New Roman" w:hAnsi="Times New Roman" w:cs="Times New Roman"/>
          <w:b/>
          <w:color w:val="auto"/>
          <w:sz w:val="36"/>
          <w:szCs w:val="36"/>
          <w:highlight w:val="none"/>
        </w:rPr>
        <w:outlineLvl w:val="9"/>
      </w:pPr>
      <w:r>
        <w:rPr>
          <w:rFonts w:hint="default" w:ascii="Times New Roman" w:hAnsi="Times New Roman" w:cs="Times New Roman"/>
          <w:b/>
          <w:color w:val="auto"/>
          <w:sz w:val="36"/>
          <w:szCs w:val="36"/>
          <w:highlight w:val="none"/>
        </w:rPr>
      </w:r>
      <w:r/>
    </w:p>
    <w:p>
      <w:pPr>
        <w:jc w:val="center"/>
        <w:spacing w:line="360" w:lineRule="auto"/>
        <w:rPr>
          <w:rFonts w:hint="default" w:ascii="Times New Roman" w:hAnsi="Times New Roman" w:cs="Times New Roman"/>
          <w:b/>
          <w:color w:val="auto"/>
          <w:sz w:val="36"/>
          <w:szCs w:val="36"/>
          <w:highlight w:val="none"/>
        </w:rPr>
        <w:outlineLvl w:val="9"/>
      </w:pPr>
      <w:r>
        <w:rPr>
          <w:rFonts w:hint="default" w:ascii="Times New Roman" w:hAnsi="Times New Roman" w:cs="Times New Roman"/>
          <w:b/>
          <w:color w:val="auto"/>
          <w:sz w:val="36"/>
          <w:szCs w:val="36"/>
          <w:highlight w:val="none"/>
        </w:rPr>
      </w:r>
      <w:r/>
    </w:p>
    <w:p>
      <w:pPr>
        <w:jc w:val="center"/>
        <w:spacing w:line="360" w:lineRule="auto"/>
        <w:rPr>
          <w:rFonts w:hint="default" w:ascii="Times New Roman" w:hAnsi="Times New Roman" w:cs="Times New Roman"/>
          <w:b/>
          <w:color w:val="auto"/>
          <w:sz w:val="36"/>
          <w:szCs w:val="36"/>
          <w:highlight w:val="none"/>
        </w:rPr>
        <w:outlineLvl w:val="9"/>
      </w:pPr>
      <w:r>
        <w:rPr>
          <w:rFonts w:hint="default" w:ascii="Times New Roman" w:hAnsi="Times New Roman" w:cs="Times New Roman"/>
          <w:b/>
          <w:color w:val="auto"/>
          <w:sz w:val="36"/>
          <w:szCs w:val="36"/>
          <w:highlight w:val="none"/>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jc w:val="center"/>
        <w:spacing w:line="7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44"/>
          <w:szCs w:val="44"/>
          <w:highlight w:val="none"/>
        </w:rPr>
        <w:t xml:space="preserve">廉 政 责 任 书</w:t>
      </w:r>
      <w:r/>
    </w:p>
    <w:p>
      <w:pPr>
        <w:ind w:firstLine="56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为进一步加强零星采购的廉政建设，特订立如下责任书。</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一、甲、乙双方的权利和义务</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甲乙双方应严格遵守党的政策规定和国家有关法律法规。</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甲乙双方应严格执行项目的合同文件，自觉按合同办事。</w:t>
      </w:r>
      <w:r/>
    </w:p>
    <w:p>
      <w:pPr>
        <w:ind w:firstLine="544"/>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pacing w:val="-4"/>
          <w:sz w:val="28"/>
          <w:szCs w:val="28"/>
          <w:highlight w:val="none"/>
        </w:rPr>
        <w:t xml:space="preserve">3．甲乙双方的业务活动应坚持公开、公平、公正、诚信、透明的原则</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4．甲乙双方不得以任何理由向对方工作人员行贿或馈赠礼金、有价证券、贵重礼品。不得在对方报销任何应由个人支付的费用。</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5．甲乙双方不得以任何理由违反廉洁自律的有关规定。</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6．甲乙双方发现对方严重违反本协议条款的行为，有及时提醒对方、向其上级有关部门举报、建议给予处理并要求告知处理结果的权利。</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二、违约责任</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2．本协议一式三份，由甲、乙双方各执一份，送交甲方的监督单位一份。</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甲方单位（盖章）：            乙方单位（盖章）：</w:t>
      </w:r>
      <w:r/>
    </w:p>
    <w:p>
      <w:pPr>
        <w:ind w:firstLine="560"/>
        <w:keepLines w:val="0"/>
        <w:keepNext w:val="0"/>
        <w:pageBreakBefore w:val="0"/>
        <w:spacing w:line="5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代表人：                      法定代表人：</w:t>
      </w:r>
      <w:r/>
    </w:p>
    <w:p>
      <w:pPr>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日期：    年   月   日        日期：     年   月   日</w:t>
      </w:r>
      <w:r/>
    </w:p>
    <w:p>
      <w:pPr>
        <w:spacing w:line="360" w:lineRule="auto"/>
        <w:tabs>
          <w:tab w:val="left" w:pos="900" w:leader="none"/>
          <w:tab w:val="left" w:pos="108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900" w:leader="none"/>
          <w:tab w:val="left" w:pos="108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spacing w:line="360" w:lineRule="auto"/>
        <w:tabs>
          <w:tab w:val="left" w:pos="900" w:leader="none"/>
          <w:tab w:val="left" w:pos="108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706" w:name="_Toc99301426"/>
      <w:r>
        <w:rPr>
          <w:rFonts w:hint="eastAsia" w:ascii="宋体" w:hAnsi="宋体" w:eastAsia="宋体" w:cs="宋体"/>
          <w:b/>
          <w:color w:val="auto"/>
          <w:sz w:val="36"/>
          <w:szCs w:val="36"/>
          <w:highlight w:val="none"/>
        </w:rPr>
        <w:t xml:space="preserve">第七章   投标文件格式</w:t>
      </w:r>
      <w:bookmarkEnd w:id="706"/>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142"/>
        <w:jc w:val="center"/>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pStyle w:val="961"/>
        <w:rPr>
          <w:rFonts w:hint="eastAsia" w:ascii="宋体" w:hAnsi="宋体" w:eastAsia="宋体" w:cs="宋体"/>
          <w:color w:val="auto"/>
          <w:highlight w:val="none"/>
        </w:rPr>
      </w:pPr>
      <w:r>
        <w:rPr>
          <w:rFonts w:hint="eastAsia" w:ascii="宋体" w:hAnsi="宋体" w:eastAsia="宋体" w:cs="宋体"/>
          <w:color w:val="auto"/>
          <w:highlight w:val="none"/>
        </w:rPr>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。未标记“实质性格式”的文件和招标文件未提供格式的内容，可由投标人自行编写。</w:t>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480"/>
        <w:spacing w:line="48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p>
    <w:p>
      <w:pPr>
        <w:jc w:val="left"/>
        <w:keepLines/>
        <w:keepNext/>
        <w:spacing w:before="120" w:line="300" w:lineRule="auto"/>
        <w:rPr>
          <w:rFonts w:hint="eastAsia" w:ascii="宋体" w:hAnsi="宋体" w:eastAsia="宋体" w:cs="宋体"/>
          <w:b/>
          <w:color w:val="auto"/>
          <w:sz w:val="30"/>
          <w:szCs w:val="20"/>
          <w:highlight w:val="none"/>
        </w:rPr>
        <w:outlineLvl w:val="1"/>
      </w:pPr>
      <w:r>
        <w:rPr>
          <w:rFonts w:hint="eastAsia" w:ascii="宋体" w:hAnsi="宋体" w:eastAsia="宋体" w:cs="宋体"/>
          <w:b/>
          <w:color w:val="auto"/>
          <w:spacing w:val="20"/>
          <w:sz w:val="24"/>
          <w:highlight w:val="none"/>
        </w:rPr>
        <w:t xml:space="preserve">一、资格证明文件格式</w:t>
      </w:r>
      <w:r/>
    </w:p>
    <w:p>
      <w:pPr>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ind w:firstLine="96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96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 xml:space="preserve">一、资格证明文件</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 xml:space="preserve">满足《中华人民共和国政府采购法》第二十二条规定及法律法规的其他规定</w:t>
      </w:r>
      <w:r/>
    </w:p>
    <w:p>
      <w:pPr>
        <w:pStyle w:val="1113"/>
        <w:rPr>
          <w:rFonts w:hint="eastAsia" w:ascii="宋体" w:hAnsi="宋体" w:eastAsia="宋体" w:cs="宋体"/>
          <w:b w:val="0"/>
          <w:bCs/>
          <w:color w:val="auto"/>
          <w:highlight w:val="none"/>
          <w:u w:val="none"/>
        </w:rPr>
      </w:pPr>
      <w:r>
        <w:rPr>
          <w:rFonts w:hint="eastAsia" w:ascii="宋体" w:hAnsi="宋体" w:eastAsia="宋体" w:cs="宋体"/>
          <w:b w:val="0"/>
          <w:color w:val="auto"/>
          <w:highlight w:val="none"/>
          <w:u w:val="none"/>
        </w:rPr>
        <w:t xml:space="preserve">1-1 投标人资格声明函（实质性格式）</w:t>
      </w:r>
      <w:r/>
    </w:p>
    <w:p>
      <w:pPr>
        <w:jc w:val="center"/>
        <w:spacing w:before="120" w:line="360" w:lineRule="auto"/>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before="120"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 xml:space="preserve">投标人资格声明函</w:t>
      </w:r>
      <w:r/>
    </w:p>
    <w:p>
      <w:pPr>
        <w:pStyle w:val="1112"/>
        <w:ind w:firstLine="480"/>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（采购人名称）</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按照《中华人民共和国政府采购法》第二十二条和招标文件的规定，我单位郑重声明如下：</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rPr>
          <w:rFonts w:hint="eastAsia" w:ascii="宋体" w:hAnsi="宋体" w:eastAsia="宋体" w:cs="宋体"/>
          <w:b/>
          <w:color w:val="auto"/>
          <w:highlight w:val="none"/>
        </w:rPr>
        <w:t xml:space="preserve">（如属于分公司经总公司授权参与项目，由总公司承担民事责任的，需提供总公司项目授权书）</w:t>
      </w:r>
      <w:r>
        <w:rPr>
          <w:rFonts w:hint="eastAsia" w:ascii="宋体" w:hAnsi="宋体" w:eastAsia="宋体" w:cs="宋体"/>
          <w:color w:val="auto"/>
          <w:highlight w:val="none"/>
        </w:rPr>
        <w:t xml:space="preserve">。</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二、我单位具有良好的商业信誉（指投标人经营状况良好，无本资格声明第</w:t>
      </w: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条情形）和健全的财务会计制度。</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三、我单位依法进行纳税和社会保险申报并实际履行了义务。</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六、我单位具备法律、行政法规规定的其他条件。</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七、与我单位存在“单位负责人为同一人或者存在直接控股、管理关系”的其他单位信息如下（如无此情形的，填写“无”）：</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八、我单位不属于为本项目提供整体设计、规范编制或者项目管理、监理、检测等服务的投标人。</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九、我单位无以下不良信用记录情形：</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投标人：（加盖公章）</w:t>
      </w:r>
      <w:r/>
    </w:p>
    <w:p>
      <w:pPr>
        <w:pStyle w:val="1112"/>
        <w:ind w:firstLine="480"/>
        <w:jc w:val="right"/>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法定代表人（或单位负责人）签字或盖章日期： </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 xml:space="preserve">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auto"/>
          <w:sz w:val="24"/>
          <w:highlight w:val="none"/>
        </w:rPr>
        <w:sectPr>
          <w:footerReference w:type="default" r:id="rId20"/>
          <w:footnotePr/>
          <w:endnotePr/>
          <w:type w:val="nextPage"/>
          <w:pgSz w:w="11907" w:h="16840" w:orient="portrait"/>
          <w:pgMar w:top="1418" w:right="1020" w:bottom="1418" w:left="1417" w:header="794" w:footer="851" w:gutter="0"/>
          <w:cols w:num="1" w:sep="0" w:space="1701" w:equalWidth="1"/>
          <w:docGrid w:linePitch="360"/>
        </w:sect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2 落实政府采购政策需满足的资格要求（如有）</w:t>
      </w:r>
      <w:r/>
    </w:p>
    <w:p>
      <w:pPr>
        <w:spacing w:line="360" w:lineRule="auto"/>
        <w:tabs>
          <w:tab w:val="left" w:pos="55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2-1本项目（包）专门面向中小、小微企业采购，资格证明文件部分需提供《中小企业声明函》。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2-2其它落实政府采购政策的资格要求（如有）</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580" w:leader="none"/>
        </w:tabs>
        <w:rPr>
          <w:rFonts w:hint="eastAsia" w:ascii="宋体" w:hAnsi="宋体" w:eastAsia="宋体" w:cs="宋体"/>
          <w:color w:val="auto"/>
          <w:sz w:val="24"/>
          <w:highlight w:val="none"/>
        </w:rPr>
      </w:pPr>
      <w:r/>
      <w:bookmarkStart w:id="707" w:name="_Toc140670472"/>
      <w:r/>
      <w:bookmarkStart w:id="708" w:name="_Toc140670335"/>
      <w:r/>
      <w:bookmarkStart w:id="709" w:name="_Toc107952855"/>
      <w:r/>
      <w:bookmarkStart w:id="710" w:name="_Toc128435173"/>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3 本项目的特定资格要求（如有）</w:t>
      </w:r>
      <w:bookmarkEnd w:id="707"/>
      <w:r/>
      <w:bookmarkEnd w:id="708"/>
      <w:r/>
      <w:bookmarkEnd w:id="709"/>
      <w:r/>
      <w:bookmarkEnd w:id="710"/>
      <w:r/>
      <w:r/>
    </w:p>
    <w:p>
      <w:pPr>
        <w:spacing w:line="360" w:lineRule="auto"/>
        <w:tabs>
          <w:tab w:val="left" w:pos="5580" w:leader="none"/>
        </w:tabs>
        <w:rPr>
          <w:rFonts w:hint="eastAsia" w:ascii="宋体" w:hAnsi="宋体" w:eastAsia="宋体" w:cs="宋体"/>
          <w:color w:val="auto"/>
          <w:sz w:val="24"/>
          <w:highlight w:val="none"/>
        </w:rPr>
      </w:pPr>
      <w:r/>
      <w:bookmarkStart w:id="711" w:name="_Toc140670473"/>
      <w:r/>
      <w:bookmarkStart w:id="712" w:name="_Toc140670336"/>
      <w:r/>
      <w:bookmarkStart w:id="713" w:name="_Toc107952856"/>
      <w:r/>
      <w:bookmarkStart w:id="714" w:name="_Toc128435174"/>
      <w:r>
        <w:rPr>
          <w:rFonts w:hint="eastAsia" w:ascii="宋体" w:hAnsi="宋体" w:eastAsia="宋体" w:cs="宋体"/>
          <w:color w:val="auto"/>
          <w:sz w:val="24"/>
          <w:highlight w:val="none"/>
        </w:rPr>
        <w:t xml:space="preserve">3-3其他特定资格要求</w:t>
      </w:r>
      <w:bookmarkEnd w:id="711"/>
      <w:r/>
      <w:bookmarkEnd w:id="712"/>
      <w:r/>
      <w:bookmarkEnd w:id="713"/>
      <w:r/>
      <w:bookmarkEnd w:id="714"/>
      <w:r/>
      <w:r/>
    </w:p>
    <w:p>
      <w:pPr>
        <w:pStyle w:val="1111"/>
        <w:ind w:firstLine="482"/>
        <w:jc w:val="left"/>
        <w:keepLines/>
        <w:keepNext/>
        <w:pageBreakBefore w:val="0"/>
        <w:spacing w:before="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bookmarkStart w:id="715" w:name="_Toc150480794"/>
      <w:r/>
      <w:bookmarkStart w:id="716" w:name="_Toc142311058"/>
      <w:r/>
      <w:bookmarkStart w:id="717" w:name="_Toc150774761"/>
      <w:r/>
      <w:bookmarkStart w:id="718" w:name="_Toc520356217"/>
      <w:r/>
      <w:bookmarkStart w:id="719" w:name="_Ref467988698"/>
      <w:r/>
      <w:bookmarkStart w:id="720" w:name="_Toc226965829"/>
      <w:r/>
      <w:bookmarkStart w:id="721" w:name="_Toc480942349"/>
      <w:r/>
      <w:bookmarkStart w:id="722" w:name="_Toc226965746"/>
      <w:r/>
      <w:bookmarkStart w:id="723" w:name="_Toc127151556"/>
      <w:r/>
      <w:bookmarkStart w:id="724" w:name="_Toc226309800"/>
      <w:r/>
      <w:bookmarkStart w:id="725" w:name="_Toc195842921"/>
      <w:r/>
      <w:bookmarkStart w:id="726" w:name="_Toc226337252"/>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highlight w:val="none"/>
        </w:rPr>
        <w:t xml:space="preserve">投标</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eastAsia="宋体" w:cs="宋体"/>
          <w:color w:val="auto"/>
          <w:sz w:val="24"/>
          <w:highlight w:val="none"/>
        </w:rPr>
        <w:t xml:space="preserve">函</w:t>
      </w:r>
      <w:r>
        <w:rPr>
          <w:rFonts w:hint="eastAsia" w:ascii="宋体" w:hAnsi="宋体" w:eastAsia="宋体" w:cs="宋体"/>
          <w:color w:val="auto"/>
          <w:sz w:val="24"/>
          <w:szCs w:val="20"/>
          <w:highlight w:val="none"/>
        </w:rPr>
        <w:t xml:space="preserve">（实质性格式）</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投标函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（1）本投标有效期为自提交投标文件的截止之日起</w:t>
      </w:r>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jc w:val="left"/>
        <w:widowControl/>
        <w:rPr>
          <w:rFonts w:hint="eastAsia" w:ascii="宋体" w:hAnsi="宋体" w:eastAsia="宋体" w:cs="宋体"/>
          <w:color w:val="auto"/>
          <w:sz w:val="24"/>
          <w:highlight w:val="none"/>
        </w:rPr>
      </w:pPr>
      <w:r/>
      <w:bookmarkStart w:id="727" w:name="_Hlt520356243"/>
      <w:r/>
      <w:bookmarkEnd w:id="727"/>
      <w:r/>
      <w:bookmarkStart w:id="728" w:name="_Hlt520355938"/>
      <w:r/>
      <w:bookmarkEnd w:id="728"/>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2  法定代表人资格证明书</w:t>
      </w:r>
      <w:r>
        <w:rPr>
          <w:rFonts w:hint="eastAsia" w:ascii="宋体" w:hAnsi="宋体" w:eastAsia="宋体" w:cs="宋体"/>
          <w:color w:val="auto"/>
          <w:sz w:val="24"/>
          <w:szCs w:val="20"/>
          <w:highlight w:val="none"/>
        </w:rPr>
        <w:t xml:space="preserve">（实质性格式）</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法定代表人资格证明书</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（投标单位名称）</w:t>
      </w:r>
      <w:r>
        <w:rPr>
          <w:rFonts w:hint="eastAsia" w:ascii="宋体" w:hAnsi="宋体" w:eastAsia="宋体" w:cs="宋体"/>
          <w:color w:val="auto"/>
          <w:sz w:val="24"/>
          <w:highlight w:val="none"/>
        </w:rPr>
        <w:t xml:space="preserve">的法定代表人。为参与</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40"/>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ascii="宋体" w:hAnsi="宋体" w:eastAsia="宋体" w:cs="宋体"/>
          <w:color w:val="auto"/>
          <w:spacing w:val="-3"/>
          <w:highlight w:val="none"/>
        </w:rPr>
        <w:t xml:space="preserve">）有效期内的身份证正反面电子件。</w:t>
      </w:r>
      <w:r/>
    </w:p>
    <w:tbl>
      <w:tblPr>
        <w:tblStyle w:val="9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投标人：（加盖公章）</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说明：</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2.投标人为自然人的情形，可不提供本《授权委托书》。</w:t>
      </w:r>
      <w:r/>
    </w:p>
    <w:p>
      <w:pPr>
        <w:jc w:val="center"/>
        <w:spacing w:before="240" w:after="24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bCs/>
          <w:color w:val="auto"/>
          <w:sz w:val="32"/>
          <w:szCs w:val="32"/>
          <w:highlight w:val="none"/>
        </w:rPr>
        <w:t xml:space="preserve">法定代表人授权委托书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法定代表人（或非法人组织负责人）姓名：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住所地：</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身份证号码：</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工作单位：</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住址：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电话：</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就</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0"/>
          <w:highlight w:val="none"/>
        </w:rPr>
        <w:t xml:space="preserve">（项目名称，项目编号/包号）</w:t>
      </w:r>
      <w:r>
        <w:rPr>
          <w:rFonts w:hint="eastAsia" w:ascii="宋体" w:hAnsi="宋体" w:eastAsia="宋体" w:cs="宋体"/>
          <w:color w:val="auto"/>
          <w:sz w:val="24"/>
          <w:highlight w:val="none"/>
        </w:rPr>
        <w:t xml:space="preserve">采购活动，以我单位名义处理一切与之有关的事务。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日签字或盖章</w:t>
      </w:r>
      <w:r>
        <w:rPr>
          <w:rFonts w:hint="eastAsia" w:ascii="宋体" w:hAnsi="宋体" w:eastAsia="宋体" w:cs="宋体"/>
          <w:b/>
          <w:color w:val="auto"/>
          <w:sz w:val="24"/>
          <w:highlight w:val="none"/>
        </w:rPr>
        <w:t xml:space="preserve">生效，无转委托，</w:t>
      </w:r>
      <w:r>
        <w:rPr>
          <w:rFonts w:hint="eastAsia" w:ascii="宋体" w:hAnsi="宋体" w:eastAsia="宋体" w:cs="宋体"/>
          <w:color w:val="auto"/>
          <w:sz w:val="24"/>
          <w:highlight w:val="none"/>
        </w:rPr>
        <w:t xml:space="preserve">特此声明。</w:t>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jc w:val="center"/>
          <w:trHeight w:val="3520"/>
        </w:trPr>
        <w:tc>
          <w:tcPr>
            <w:tcW w:w="8228"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（※授权委托人身份证正、反面扫描件※）</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委托人（加盖单位公章）：</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法定代表人（或非法人组织负责人）（签字或盖章）：</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详细通讯地址：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 ：</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r/>
    </w:p>
    <w:p>
      <w:pPr>
        <w:ind w:firstLine="480"/>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3  政府采购供应商信用承诺书</w:t>
      </w:r>
      <w:r>
        <w:rPr>
          <w:rFonts w:hint="eastAsia" w:ascii="宋体" w:hAnsi="宋体" w:eastAsia="宋体" w:cs="宋体"/>
          <w:color w:val="auto"/>
          <w:sz w:val="24"/>
          <w:szCs w:val="20"/>
          <w:highlight w:val="none"/>
        </w:rPr>
        <w:t xml:space="preserve">（实质性格式）</w:t>
      </w:r>
      <w:r/>
    </w:p>
    <w:p>
      <w:pPr>
        <w:ind w:firstLine="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政府采购供应商信用承诺书</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364"/>
        <w:ind w:right="1050" w:firstLine="2880"/>
        <w:jc w:val="both"/>
        <w:spacing w:line="276"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名称（加盖公章）</w:t>
      </w:r>
      <w:r>
        <w:rPr>
          <w:rFonts w:hint="eastAsia" w:ascii="宋体" w:hAnsi="宋体" w:eastAsia="宋体" w:cs="宋体"/>
          <w:color w:val="auto"/>
          <w:sz w:val="24"/>
          <w:highlight w:val="none"/>
          <w:lang w:val="zh-CN"/>
        </w:rPr>
        <w:t xml:space="preserve">：____________</w:t>
      </w:r>
      <w:r/>
    </w:p>
    <w:p>
      <w:pPr>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szCs w:val="20"/>
          <w:highlight w:val="none"/>
        </w:rPr>
        <w:t xml:space="preserve">签字或签章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widowControl/>
        <w:rPr>
          <w:rFonts w:hint="eastAsia" w:ascii="宋体" w:hAnsi="宋体" w:eastAsia="宋体" w:cs="宋体"/>
          <w:color w:val="auto"/>
          <w:sz w:val="24"/>
          <w:szCs w:val="20"/>
          <w:highlight w:val="none"/>
        </w:rPr>
      </w:pPr>
      <w:r/>
      <w:bookmarkStart w:id="729" w:name="_Hlt520271212"/>
      <w:r/>
      <w:bookmarkEnd w:id="729"/>
      <w:r/>
      <w:bookmarkStart w:id="730" w:name="_Hlt520274121"/>
      <w:r/>
      <w:bookmarkEnd w:id="730"/>
      <w:r/>
      <w:bookmarkStart w:id="731" w:name="_Hlt520274407"/>
      <w:r/>
      <w:bookmarkEnd w:id="731"/>
      <w:r/>
      <w:bookmarkStart w:id="732" w:name="_Hlt520274393"/>
      <w:r/>
      <w:bookmarkEnd w:id="732"/>
      <w:r/>
      <w:bookmarkStart w:id="733" w:name="_Hlt520355504"/>
      <w:r/>
      <w:bookmarkEnd w:id="733"/>
      <w:r/>
      <w:bookmarkStart w:id="734" w:name="_Hlt520343000"/>
      <w:r/>
      <w:bookmarkEnd w:id="734"/>
      <w:r/>
      <w:bookmarkStart w:id="735" w:name="_Hlt520274065"/>
      <w:r/>
      <w:bookmarkEnd w:id="735"/>
      <w:r/>
      <w:bookmarkStart w:id="736" w:name="_Hlt520350918"/>
      <w:r/>
      <w:bookmarkEnd w:id="736"/>
      <w:r/>
      <w:bookmarkStart w:id="737" w:name="_Hlt520273711"/>
      <w:r/>
      <w:bookmarkEnd w:id="737"/>
      <w:r/>
      <w:bookmarkStart w:id="738" w:name="_Hlt520343392"/>
      <w:r/>
      <w:bookmarkEnd w:id="738"/>
      <w:r/>
      <w:bookmarkStart w:id="739" w:name="_Toc305158825"/>
      <w:r/>
      <w:bookmarkStart w:id="740" w:name="_Ref467988705"/>
      <w:r/>
      <w:bookmarkStart w:id="741" w:name="_Toc150774762"/>
      <w:r/>
      <w:bookmarkStart w:id="742" w:name="_Toc226965747"/>
      <w:r/>
      <w:bookmarkStart w:id="743" w:name="_Toc150480795"/>
      <w:r/>
      <w:bookmarkStart w:id="744" w:name="_Toc226337253"/>
      <w:r/>
      <w:bookmarkStart w:id="745" w:name="_Toc480942350"/>
      <w:r/>
      <w:bookmarkStart w:id="746" w:name="_Toc195842922"/>
      <w:r/>
      <w:bookmarkStart w:id="747" w:name="_Toc520356218"/>
      <w:r/>
      <w:bookmarkStart w:id="748" w:name="_Toc226309801"/>
      <w:r/>
      <w:bookmarkStart w:id="749" w:name="_Toc305158899"/>
      <w:r/>
      <w:bookmarkStart w:id="750" w:name="_Toc127151557"/>
      <w:r/>
      <w:bookmarkStart w:id="751" w:name="_Toc142311059"/>
      <w:r/>
      <w:bookmarkStart w:id="752" w:name="_Toc264969247"/>
      <w:r/>
      <w:bookmarkStart w:id="753" w:name="_Toc226965830"/>
      <w:r/>
      <w:bookmarkStart w:id="754" w:name="_Toc265228395"/>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4  开标一览表</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宋体" w:hAnsi="宋体" w:eastAsia="宋体" w:cs="宋体"/>
          <w:color w:val="auto"/>
          <w:sz w:val="24"/>
          <w:szCs w:val="20"/>
          <w:highlight w:val="none"/>
        </w:rPr>
        <w:t xml:space="preserve">（实质性格式）</w:t>
      </w:r>
      <w:r/>
    </w:p>
    <w:p>
      <w:pPr>
        <w:jc w:val="center"/>
        <w:spacing w:line="360" w:lineRule="exact"/>
        <w:rPr>
          <w:rFonts w:hint="eastAsia" w:ascii="宋体" w:hAnsi="宋体" w:eastAsia="宋体" w:cs="宋体"/>
          <w:b/>
          <w:color w:val="auto"/>
          <w:sz w:val="36"/>
          <w:szCs w:val="36"/>
          <w:highlight w:val="none"/>
        </w:rPr>
      </w:pPr>
      <w:r/>
      <w:bookmarkStart w:id="755" w:name="_Toc226337254"/>
      <w:r/>
      <w:bookmarkStart w:id="756" w:name="_Toc226965831"/>
      <w:r/>
      <w:bookmarkStart w:id="757" w:name="_Toc226309802"/>
      <w:r/>
      <w:bookmarkStart w:id="758" w:name="_Toc264969248"/>
      <w:r/>
      <w:bookmarkStart w:id="759" w:name="_Toc305158826"/>
      <w:r/>
      <w:bookmarkStart w:id="760" w:name="_Toc164608672"/>
      <w:r/>
      <w:bookmarkStart w:id="761" w:name="_Toc265228396"/>
      <w:r/>
      <w:bookmarkStart w:id="762" w:name="_Toc164608827"/>
      <w:r/>
      <w:bookmarkStart w:id="763" w:name="_Toc195842923"/>
      <w:r/>
      <w:bookmarkStart w:id="764" w:name="_Toc305158900"/>
      <w:r/>
      <w:bookmarkStart w:id="765" w:name="_Toc226965748"/>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开标一览表</w:t>
      </w:r>
      <w:bookmarkEnd w:id="755"/>
      <w:r/>
      <w:bookmarkEnd w:id="756"/>
      <w:r/>
      <w:bookmarkEnd w:id="757"/>
      <w:r/>
      <w:bookmarkEnd w:id="758"/>
      <w:r/>
      <w:bookmarkEnd w:id="759"/>
      <w:r/>
      <w:bookmarkEnd w:id="760"/>
      <w:r/>
      <w:bookmarkEnd w:id="761"/>
      <w:r/>
      <w:bookmarkEnd w:id="762"/>
      <w:r/>
      <w:bookmarkEnd w:id="763"/>
      <w:r/>
      <w:bookmarkEnd w:id="764"/>
      <w:r/>
      <w:bookmarkEnd w:id="765"/>
      <w:r/>
      <w:r/>
    </w:p>
    <w:p>
      <w:pPr>
        <w:jc w:val="left"/>
        <w:spacing w:line="360" w:lineRule="auto"/>
        <w:tabs>
          <w:tab w:val="left" w:pos="1800" w:leader="none"/>
          <w:tab w:val="left" w:pos="5580" w:leader="none"/>
        </w:tabs>
        <w:rPr>
          <w:rFonts w:hint="eastAsia" w:ascii="宋体" w:hAnsi="宋体" w:eastAsia="宋体" w:cs="宋体"/>
          <w:i/>
          <w:color w:val="auto"/>
          <w:sz w:val="24"/>
          <w:highlight w:val="none"/>
        </w:rPr>
      </w:pPr>
      <w:r>
        <w:rPr>
          <w:rFonts w:hint="eastAsia" w:ascii="宋体" w:hAnsi="宋体" w:eastAsia="宋体" w:cs="宋体"/>
          <w:i/>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项目编号/包号：_____________________     项目名称：____________</w:t>
      </w:r>
      <w:r/>
    </w:p>
    <w:tbl>
      <w:tblPr>
        <w:tblStyle w:val="937"/>
        <w:tblW w:w="46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9"/>
        <w:gridCol w:w="4149"/>
        <w:gridCol w:w="1187"/>
        <w:gridCol w:w="2928"/>
      </w:tblGrid>
      <w:tr>
        <w:trPr>
          <w:jc w:val="center"/>
          <w:trHeight w:val="633"/>
        </w:trPr>
        <w:tc>
          <w:tcPr>
            <w:tcW w:w="409"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17"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报价内容</w:t>
            </w:r>
            <w:r/>
          </w:p>
        </w:tc>
        <w:tc>
          <w:tcPr>
            <w:gridSpan w:val="2"/>
            <w:tcW w:w="4115"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投标报价</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元</w:t>
            </w:r>
            <w:r>
              <w:rPr>
                <w:rFonts w:hint="eastAsia" w:ascii="宋体" w:hAnsi="宋体" w:eastAsia="宋体" w:cs="宋体"/>
                <w:b/>
                <w:color w:val="auto"/>
                <w:sz w:val="24"/>
                <w:highlight w:val="none"/>
                <w:lang w:eastAsia="zh-CN"/>
              </w:rPr>
              <w:t xml:space="preserve">）</w:t>
            </w:r>
            <w:r/>
          </w:p>
        </w:tc>
      </w:tr>
      <w:tr>
        <w:trPr>
          <w:jc w:val="center"/>
          <w:trHeight w:val="674"/>
        </w:trPr>
        <w:tc>
          <w:tcPr>
            <w:tcW w:w="409" w:type="dxa"/>
            <w:vAlign w:val="center"/>
            <w:vMerge w:val="continue"/>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17" w:type="dxa"/>
            <w:vAlign w:val="center"/>
            <w:vMerge w:val="continue"/>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7"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大写</w:t>
            </w:r>
            <w:r/>
          </w:p>
        </w:tc>
        <w:tc>
          <w:tcPr>
            <w:tcW w:w="1185"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p>
        </w:tc>
      </w:tr>
      <w:tr>
        <w:trPr>
          <w:jc w:val="center"/>
          <w:trHeight w:val="976"/>
        </w:trPr>
        <w:tc>
          <w:tcPr>
            <w:tcW w:w="40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1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5"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76"/>
        </w:trPr>
        <w:tc>
          <w:tcPr>
            <w:gridSpan w:val="2"/>
            <w:tcW w:w="4558" w:type="dxa"/>
            <w:vAlign w:val="center"/>
            <w:textDirection w:val="lrTb"/>
            <w:noWrap w:val="false"/>
          </w:tcPr>
          <w:p>
            <w:pPr>
              <w:jc w:val="center"/>
              <w:tabs>
                <w:tab w:val="left" w:pos="55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w:t>
            </w:r>
            <w:r/>
          </w:p>
        </w:tc>
        <w:tc>
          <w:tcPr>
            <w:gridSpan w:val="2"/>
            <w:tcW w:w="4115"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jc w:val="left"/>
        <w:spacing w:line="48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sz w:val="24"/>
          <w:szCs w:val="20"/>
          <w:highlight w:val="none"/>
        </w:rPr>
      </w:pPr>
      <w:r/>
      <w:bookmarkStart w:id="766" w:name="_Toc226965749"/>
      <w:r/>
      <w:bookmarkStart w:id="767" w:name="_Toc150774763"/>
      <w:r/>
      <w:bookmarkStart w:id="768" w:name="_Toc150480796"/>
      <w:r/>
      <w:bookmarkStart w:id="769" w:name="_Toc305158901"/>
      <w:r/>
      <w:bookmarkStart w:id="770" w:name="_Toc127151558"/>
      <w:r/>
      <w:bookmarkStart w:id="771" w:name="_Toc226337255"/>
      <w:r/>
      <w:bookmarkStart w:id="772" w:name="_Toc226965832"/>
      <w:r/>
      <w:bookmarkStart w:id="773" w:name="_Toc265228397"/>
      <w:r/>
      <w:bookmarkStart w:id="774" w:name="_Toc195842924"/>
      <w:r/>
      <w:bookmarkStart w:id="775" w:name="_Toc264969249"/>
      <w:r/>
      <w:bookmarkStart w:id="776" w:name="_Toc142311060"/>
      <w:r/>
      <w:bookmarkStart w:id="777" w:name="_Toc305158827"/>
      <w:r/>
      <w:bookmarkStart w:id="778" w:name="_Toc226309803"/>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Calibri" w:hAnsi="Calibri" w:eastAsia="宋体" w:cs="Times New Roman"/>
          <w:color w:val="auto"/>
          <w:sz w:val="24"/>
          <w:szCs w:val="20"/>
          <w:highlight w:val="none"/>
          <w:lang w:val="en-US" w:eastAsia="zh-CN"/>
        </w:rPr>
        <w:outlineLvl w:val="2"/>
      </w:pPr>
      <w:r>
        <w:rPr>
          <w:rFonts w:hint="eastAsia" w:ascii="Calibri" w:hAnsi="Calibri" w:eastAsia="宋体" w:cs="Times New Roman"/>
          <w:color w:val="auto"/>
          <w:sz w:val="24"/>
          <w:szCs w:val="20"/>
          <w:highlight w:val="none"/>
          <w:lang w:val="en-US" w:eastAsia="zh-CN"/>
        </w:rPr>
      </w:r>
      <w:r/>
    </w:p>
    <w:p>
      <w:pPr>
        <w:spacing w:line="360" w:lineRule="auto"/>
        <w:rPr>
          <w:rFonts w:hint="eastAsia" w:ascii="Calibri" w:hAnsi="Calibri" w:eastAsia="宋体" w:cs="Times New Roman"/>
          <w:color w:val="auto"/>
          <w:sz w:val="24"/>
          <w:szCs w:val="20"/>
          <w:highlight w:val="none"/>
          <w:lang w:val="en-US" w:eastAsia="zh-CN"/>
        </w:rPr>
        <w:outlineLvl w:val="2"/>
      </w:pPr>
      <w:r>
        <w:rPr>
          <w:rFonts w:hint="eastAsia" w:ascii="Calibri" w:hAnsi="Calibri" w:eastAsia="宋体" w:cs="Times New Roman"/>
          <w:color w:val="auto"/>
          <w:sz w:val="24"/>
          <w:szCs w:val="20"/>
          <w:highlight w:val="none"/>
          <w:lang w:val="en-US" w:eastAsia="zh-CN"/>
        </w:rPr>
        <w:t xml:space="preserve">5 投标分项报价表（实质性格式）</w:t>
      </w:r>
      <w:r/>
    </w:p>
    <w:p>
      <w:pPr>
        <w:jc w:val="center"/>
        <w:spacing w:line="360" w:lineRule="auto"/>
        <w:tabs>
          <w:tab w:val="left" w:pos="1800" w:leader="none"/>
          <w:tab w:val="left" w:pos="5580" w:leader="none"/>
        </w:tabs>
        <w:rPr>
          <w:rFonts w:ascii="Times New Roman" w:hAnsi="Times New Roman" w:eastAsia="宋体" w:cs="Times New Roman"/>
          <w:b/>
          <w:color w:val="auto"/>
          <w:sz w:val="36"/>
          <w:szCs w:val="36"/>
          <w:highlight w:val="none"/>
          <w:lang w:val="en-US" w:eastAsia="zh-CN"/>
        </w:rPr>
      </w:pPr>
      <w:r>
        <w:rPr>
          <w:rFonts w:hint="eastAsia" w:ascii="Times New Roman" w:hAnsi="Times New Roman" w:eastAsia="宋体" w:cs="Times New Roman"/>
          <w:b/>
          <w:color w:val="auto"/>
          <w:sz w:val="36"/>
          <w:szCs w:val="36"/>
          <w:highlight w:val="none"/>
        </w:rPr>
        <w:t xml:space="preserve">投标分项报价表</w:t>
      </w:r>
      <w:r/>
    </w:p>
    <w:tbl>
      <w:tblPr>
        <w:tblStyle w:val="937"/>
        <w:tblW w:w="5415"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203"/>
        <w:gridCol w:w="3685"/>
        <w:gridCol w:w="618"/>
        <w:gridCol w:w="1454"/>
        <w:gridCol w:w="1388"/>
        <w:gridCol w:w="1388"/>
      </w:tblGrid>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内容详情</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工程量</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单价（元）</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合计（元）</w:t>
            </w:r>
            <w:r/>
          </w:p>
        </w:tc>
      </w:tr>
      <w:tr>
        <w:trPr>
          <w:jc w:val="center"/>
          <w:trHeight w:val="454"/>
        </w:trPr>
        <w:tc>
          <w:tcPr>
            <w:tcBorders>
              <w:top w:val="single" w:color="auto" w:sz="4" w:space="0"/>
              <w:left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场地基础建设</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临水临电、场地平整、临时办公区临时道路等</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jc w:val="center"/>
          <w:trHeight w:val="454"/>
        </w:trPr>
        <w:tc>
          <w:tcPr>
            <w:tcBorders>
              <w:top w:val="single" w:color="auto" w:sz="4" w:space="0"/>
              <w:left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基坑支护及降水</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地块南侧建设基坑支护并于地块内降水施工</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m</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90</w:t>
            </w:r>
            <w:r/>
          </w:p>
        </w:tc>
        <w:tc>
          <w:tcPr>
            <w:tcBorders>
              <w:top w:val="single" w:color="auto" w:sz="4" w:space="0"/>
              <w:left w:val="none" w:color="000000"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综合处置服务</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填埋混合物开挖、短驳劳务服务,运输、筛分、处置服务;建筑垃圾、土壤和生活垃圾的处置服务</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吨</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35935.536</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清洁土与回填压实</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采用清洁土对清挖的基坑回填压实</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m³</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18913.44</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废水处理</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基坑水、降水废水、冲洗废水收集、暂存和外运</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吨</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1964.66</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二次污染防治</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扬尘控制、人员防护、气味抑制剂及喷洒设备、防治表层堆土二次污染使用的防尘网、彩条布、其他二次污染防治等</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环境检测</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清挖区域环境空气、声环境、基坑等检测服务</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竣工报告</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编制竣工报告</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jc w:val="center"/>
              <w:spacing w:line="5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其他</w:t>
            </w:r>
            <w:r/>
          </w:p>
        </w:tc>
        <w:tc>
          <w:tcPr>
            <w:tcBorders>
              <w:top w:val="single" w:color="auto" w:sz="4" w:space="0"/>
              <w:left w:val="none" w:color="000000" w:sz="4" w:space="0"/>
              <w:bottom w:val="single" w:color="auto" w:sz="4" w:space="0"/>
              <w:right w:val="single" w:color="auto" w:sz="4" w:space="0"/>
            </w:tcBorders>
            <w:tcW w:w="1776" w:type="pct"/>
            <w:vAlign w:val="center"/>
            <w:textDirection w:val="lrTb"/>
            <w:noWrap w:val="false"/>
          </w:tcPr>
          <w:p>
            <w:pPr>
              <w:jc w:val="center"/>
              <w:spacing w:line="5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规费、税金等</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2661" w:type="pct"/>
            <w:vAlign w:val="center"/>
            <w:textDirection w:val="lrTb"/>
            <w:noWrap w:val="false"/>
          </w:tcPr>
          <w:p>
            <w:pPr>
              <w:jc w:val="cente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69" w:type="pct"/>
            <w:vAlign w:val="center"/>
            <w:textDirection w:val="lrTb"/>
            <w:noWrap w:val="false"/>
          </w:tcPr>
          <w:p>
            <w:pPr>
              <w:jc w:val="center"/>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spacing w:line="360" w:lineRule="auto"/>
        <w:rPr>
          <w:rFonts w:hint="eastAsia" w:ascii="Times New Roman" w:hAnsi="Times New Roman" w:eastAsia="宋体" w:cs="Times New Roman"/>
          <w:color w:val="auto"/>
          <w:sz w:val="24"/>
          <w:szCs w:val="20"/>
          <w:highlight w:val="none"/>
        </w:rPr>
        <w:outlineLvl w:val="2"/>
      </w:pPr>
      <w:r>
        <w:rPr>
          <w:rFonts w:hint="eastAsia" w:ascii="Times New Roman" w:hAnsi="Times New Roman" w:eastAsia="宋体" w:cs="Times New Roman"/>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rPr>
          <w:rFonts w:ascii="宋体" w:hAnsi="宋体" w:eastAsia="宋体" w:cs="Times New Roman"/>
          <w:color w:val="auto"/>
          <w:sz w:val="24"/>
          <w:szCs w:val="20"/>
          <w:highlight w:val="none"/>
        </w:rPr>
        <w:t xml:space="preserve"> </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bookmarkEnd w:id="766"/>
      <w:bookmarkEnd w:id="767"/>
      <w:bookmarkEnd w:id="768"/>
      <w:bookmarkEnd w:id="769"/>
      <w:bookmarkEnd w:id="770"/>
      <w:bookmarkEnd w:id="771"/>
      <w:bookmarkEnd w:id="772"/>
      <w:bookmarkEnd w:id="773"/>
      <w:bookmarkEnd w:id="774"/>
      <w:bookmarkEnd w:id="775"/>
      <w:bookmarkEnd w:id="776"/>
      <w:bookmarkEnd w:id="777"/>
      <w:bookmarkEnd w:id="778"/>
      <w:r/>
    </w:p>
    <w:p>
      <w:pPr>
        <w:jc w:val="left"/>
        <w:spacing w:line="360" w:lineRule="auto"/>
        <w:rPr>
          <w:rFonts w:hint="eastAsia" w:ascii="宋体" w:hAnsi="宋体" w:eastAsia="宋体" w:cs="宋体"/>
          <w:color w:val="auto"/>
          <w:sz w:val="24"/>
          <w:szCs w:val="20"/>
          <w:highlight w:val="none"/>
        </w:rPr>
        <w:outlineLvl w:val="2"/>
      </w:pPr>
      <w:r/>
      <w:bookmarkStart w:id="779" w:name="_Toc305158904"/>
      <w:r/>
      <w:bookmarkStart w:id="780" w:name="_Toc150480798"/>
      <w:r/>
      <w:bookmarkStart w:id="781" w:name="_Toc226965835"/>
      <w:r/>
      <w:bookmarkStart w:id="782" w:name="_Toc150774765"/>
      <w:r/>
      <w:bookmarkStart w:id="783" w:name="_Toc226337258"/>
      <w:r/>
      <w:bookmarkStart w:id="784" w:name="_Toc142311062"/>
      <w:r/>
      <w:bookmarkStart w:id="785" w:name="_Toc265228400"/>
      <w:r/>
      <w:bookmarkStart w:id="786" w:name="_Toc226965752"/>
      <w:r/>
      <w:bookmarkStart w:id="787" w:name="_Toc226309806"/>
      <w:r/>
      <w:bookmarkStart w:id="788" w:name="_Toc264969252"/>
      <w:r/>
      <w:bookmarkStart w:id="789" w:name="_Toc195842927"/>
      <w:r/>
      <w:bookmarkStart w:id="790" w:name="_Toc127151562"/>
      <w:r/>
      <w:bookmarkStart w:id="791" w:name="_Toc305158830"/>
      <w:r/>
      <w:bookmarkStart w:id="792" w:name="_Toc226965834"/>
      <w:r/>
      <w:bookmarkStart w:id="793" w:name="_Toc305158903"/>
      <w:r/>
      <w:bookmarkStart w:id="794" w:name="_Toc195842926"/>
      <w:r/>
      <w:bookmarkStart w:id="795" w:name="_Toc226337257"/>
      <w:r/>
      <w:bookmarkStart w:id="796" w:name="_Toc226309805"/>
      <w:r/>
      <w:bookmarkStart w:id="797" w:name="_Toc142311061"/>
      <w:r/>
      <w:bookmarkStart w:id="798" w:name="_Toc264969251"/>
      <w:r/>
      <w:bookmarkStart w:id="799" w:name="_Toc150480797"/>
      <w:r/>
      <w:bookmarkStart w:id="800" w:name="_Toc226965751"/>
      <w:r/>
      <w:bookmarkStart w:id="801" w:name="_Toc150774764"/>
      <w:r/>
      <w:bookmarkStart w:id="802" w:name="_Toc265228399"/>
      <w:r/>
      <w:bookmarkStart w:id="803" w:name="_Toc127151561"/>
      <w:r/>
      <w:bookmarkStart w:id="804" w:name="_Toc305158829"/>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  </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ascii="宋体" w:hAnsi="宋体" w:eastAsia="宋体" w:cs="宋体"/>
          <w:color w:val="auto"/>
          <w:sz w:val="24"/>
          <w:szCs w:val="20"/>
          <w:highlight w:val="none"/>
        </w:rPr>
        <w:t xml:space="preserve">技术要求响应及偏离表（实质性格式）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技术要求响应及偏离表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项目编号/包号：_____________________     项目名称：_____________</w:t>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对本项目技术要求的偏离情况（请进行勾选）：</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□无偏离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如无偏离，仅勾选无偏离即可</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□有偏离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如有偏离，</w:t>
            </w:r>
            <w:r>
              <w:rPr>
                <w:rFonts w:hint="eastAsia" w:ascii="宋体" w:hAnsi="宋体" w:eastAsia="宋体" w:cs="宋体"/>
                <w:color w:val="auto"/>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对项目要求的所有技术要求，除本表所列明的所有偏离外，均视作投标人已对之理解和响应。</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“偏离情况”列应据实填写“正偏离”或“负偏离”。</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  </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rFonts w:hint="eastAsia" w:ascii="宋体" w:hAnsi="宋体" w:eastAsia="宋体" w:cs="宋体"/>
          <w:color w:val="auto"/>
          <w:sz w:val="24"/>
          <w:szCs w:val="20"/>
          <w:highlight w:val="none"/>
        </w:rPr>
        <w:t xml:space="preserve">商务要求响应及偏离表（实质性格式）</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项目编号/包号：_____________________     项目名称：____________</w:t>
      </w:r>
      <w:r/>
    </w:p>
    <w:tbl>
      <w:tblPr>
        <w:tblStyle w:val="93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对招标文件中的所有商务、技术要求，除本表所列明的所有偏离外，均视作投标人已对之理解和响应。此表中若无任何文字说明，内容为空白，</w:t>
      </w:r>
      <w:r>
        <w:rPr>
          <w:rFonts w:hint="eastAsia" w:ascii="宋体" w:hAnsi="宋体" w:eastAsia="宋体" w:cs="宋体"/>
          <w:b/>
          <w:color w:val="auto"/>
          <w:sz w:val="24"/>
          <w:highlight w:val="none"/>
        </w:rPr>
        <w:t xml:space="preserve">投标无效。</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情况”列应据实填写“正偏离”或“负偏离”、“无偏离”，实质性响应条款负偏离的将作为无效投标处理。其他条款的负偏离根据投标人说明的理由经评标委员会评审后确定是否符合本项目要求，不符合的将作无效投标处理。</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cs="宋体"/>
          <w:color w:val="auto"/>
          <w:sz w:val="24"/>
          <w:szCs w:val="20"/>
          <w:highlight w:val="none"/>
          <w:lang w:val="en-US" w:eastAsia="zh-CN"/>
        </w:rPr>
        <w:outlineLvl w:val="2"/>
      </w:pPr>
      <w:r>
        <w:rPr>
          <w:rFonts w:hint="eastAsia" w:ascii="宋体" w:hAnsi="宋体" w:cs="宋体"/>
          <w:color w:val="auto"/>
          <w:sz w:val="24"/>
          <w:szCs w:val="20"/>
          <w:highlight w:val="none"/>
          <w:lang w:val="en-US" w:eastAsia="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  中小企业声明函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jc w:val="left"/>
        <w:spacing w:line="360" w:lineRule="auto"/>
        <w:rPr>
          <w:rFonts w:hint="eastAsia" w:ascii="宋体" w:hAnsi="宋体" w:eastAsia="宋体" w:cs="宋体"/>
          <w:bCs/>
          <w:color w:val="auto"/>
          <w:sz w:val="24"/>
          <w:highlight w:val="none"/>
        </w:rPr>
        <w:outlineLvl w:val="1"/>
      </w:pPr>
      <w:r/>
      <w:bookmarkStart w:id="805" w:name="_Toc169226745"/>
      <w:r/>
      <w:bookmarkStart w:id="806" w:name="_Toc140670356"/>
      <w:r/>
      <w:bookmarkStart w:id="807" w:name="_Toc140670493"/>
      <w:r>
        <w:rPr>
          <w:rFonts w:hint="eastAsia" w:ascii="宋体" w:hAnsi="宋体" w:eastAsia="宋体" w:cs="宋体"/>
          <w:bCs/>
          <w:color w:val="auto"/>
          <w:sz w:val="24"/>
          <w:highlight w:val="none"/>
        </w:rPr>
        <w:t xml:space="preserve">（1）如本项目（包）专门面向中小/小微企业采购，必须提供《中小企业声明函》，此时声明函属于实质性格式。</w:t>
      </w:r>
      <w:bookmarkEnd w:id="805"/>
      <w:r/>
      <w:bookmarkEnd w:id="806"/>
      <w:r/>
      <w:bookmarkEnd w:id="807"/>
      <w:r/>
      <w:r/>
    </w:p>
    <w:p>
      <w:pPr>
        <w:jc w:val="left"/>
        <w:spacing w:line="360" w:lineRule="auto"/>
        <w:rPr>
          <w:rFonts w:hint="eastAsia" w:ascii="宋体" w:hAnsi="宋体" w:eastAsia="宋体" w:cs="宋体"/>
          <w:bCs/>
          <w:color w:val="auto"/>
          <w:sz w:val="24"/>
          <w:highlight w:val="none"/>
        </w:rPr>
        <w:outlineLvl w:val="1"/>
      </w:pPr>
      <w:r/>
      <w:bookmarkStart w:id="808" w:name="_Toc140670494"/>
      <w:r/>
      <w:bookmarkStart w:id="809" w:name="_Toc140670357"/>
      <w:r/>
      <w:bookmarkStart w:id="810" w:name="_Toc169226746"/>
      <w:r>
        <w:rPr>
          <w:rFonts w:hint="eastAsia" w:ascii="宋体" w:hAnsi="宋体" w:eastAsia="宋体" w:cs="宋体"/>
          <w:bCs/>
          <w:color w:val="auto"/>
          <w:sz w:val="24"/>
          <w:highlight w:val="none"/>
        </w:rPr>
        <w:t xml:space="preserve">（2）如本项目（包）不专门面向中小企业预留采购份额，资格证明文件部分无需提供《中小企业声明函》。</w:t>
      </w:r>
      <w:bookmarkEnd w:id="808"/>
      <w:r/>
      <w:bookmarkEnd w:id="809"/>
      <w:r/>
      <w:bookmarkEnd w:id="810"/>
      <w:r/>
      <w:r/>
    </w:p>
    <w:p>
      <w:pPr>
        <w:jc w:val="left"/>
        <w:spacing w:line="360" w:lineRule="auto"/>
        <w:rPr>
          <w:rFonts w:hint="eastAsia" w:ascii="宋体" w:hAnsi="宋体" w:eastAsia="宋体" w:cs="宋体"/>
          <w:bCs/>
          <w:color w:val="auto"/>
          <w:sz w:val="24"/>
          <w:highlight w:val="none"/>
        </w:rPr>
        <w:outlineLvl w:val="1"/>
      </w:pPr>
      <w:r/>
      <w:bookmarkStart w:id="811" w:name="_Toc140670358"/>
      <w:r/>
      <w:bookmarkStart w:id="812" w:name="_Toc169226747"/>
      <w:r/>
      <w:bookmarkStart w:id="813" w:name="_Toc140670495"/>
      <w:r>
        <w:rPr>
          <w:rFonts w:hint="eastAsia" w:ascii="宋体" w:hAnsi="宋体" w:eastAsia="宋体" w:cs="宋体"/>
          <w:bCs/>
          <w:color w:val="auto"/>
          <w:sz w:val="24"/>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类型一）》。</w:t>
      </w:r>
      <w:bookmarkEnd w:id="811"/>
      <w:r/>
      <w:bookmarkEnd w:id="812"/>
      <w:r/>
      <w:bookmarkEnd w:id="813"/>
      <w:r/>
      <w:r/>
    </w:p>
    <w:p>
      <w:pPr>
        <w:jc w:val="left"/>
        <w:spacing w:line="360" w:lineRule="auto"/>
        <w:rPr>
          <w:rFonts w:hint="eastAsia" w:ascii="宋体" w:hAnsi="宋体" w:eastAsia="宋体" w:cs="宋体"/>
          <w:bCs/>
          <w:color w:val="auto"/>
          <w:sz w:val="24"/>
          <w:highlight w:val="none"/>
        </w:rPr>
        <w:outlineLvl w:val="1"/>
      </w:pPr>
      <w:r/>
      <w:bookmarkStart w:id="814" w:name="_Toc140670496"/>
      <w:r/>
      <w:bookmarkStart w:id="815" w:name="_Toc140670359"/>
      <w:r/>
      <w:bookmarkStart w:id="816" w:name="_Toc169226748"/>
      <w:r>
        <w:rPr>
          <w:rFonts w:hint="eastAsia" w:ascii="宋体" w:hAnsi="宋体" w:eastAsia="宋体" w:cs="宋体"/>
          <w:bCs/>
          <w:color w:val="auto"/>
          <w:sz w:val="24"/>
          <w:highlight w:val="none"/>
        </w:rPr>
        <w:t xml:space="preserve">（4）其他</w:t>
      </w:r>
      <w:bookmarkEnd w:id="814"/>
      <w:r/>
      <w:bookmarkEnd w:id="815"/>
      <w:r/>
      <w:bookmarkEnd w:id="816"/>
      <w:r/>
      <w:r/>
    </w:p>
    <w:p>
      <w:pPr>
        <w:jc w:val="left"/>
        <w:spacing w:line="360" w:lineRule="auto"/>
        <w:rPr>
          <w:rFonts w:hint="eastAsia" w:ascii="宋体" w:hAnsi="宋体" w:eastAsia="宋体" w:cs="宋体"/>
          <w:bCs/>
          <w:color w:val="auto"/>
          <w:sz w:val="24"/>
          <w:highlight w:val="none"/>
        </w:rPr>
        <w:outlineLvl w:val="1"/>
      </w:pPr>
      <w:r/>
      <w:bookmarkStart w:id="817" w:name="_Toc140670497"/>
      <w:r/>
      <w:bookmarkStart w:id="818" w:name="_Toc169226749"/>
      <w:r/>
      <w:bookmarkStart w:id="819" w:name="_Toc140670360"/>
      <w:r>
        <w:rPr>
          <w:rFonts w:hint="eastAsia" w:ascii="宋体" w:hAnsi="宋体" w:eastAsia="宋体" w:cs="宋体"/>
          <w:bCs/>
          <w:color w:val="auto"/>
          <w:sz w:val="24"/>
          <w:highlight w:val="none"/>
        </w:rPr>
        <w:t xml:space="preserve">1）中小企业、残疾人福利性单位参加政府采购活动，应当出具此格式文件，未提供的将不享受有关政策。《中小企业声明函》由参加政府采购活动的投标人出具。联合体投标的，《中小企业声明函》由牵头人出具。</w:t>
      </w:r>
      <w:bookmarkEnd w:id="817"/>
      <w:r/>
      <w:bookmarkEnd w:id="818"/>
      <w:r/>
      <w:bookmarkEnd w:id="819"/>
      <w:r/>
      <w:r/>
    </w:p>
    <w:p>
      <w:pPr>
        <w:jc w:val="left"/>
        <w:spacing w:line="360" w:lineRule="auto"/>
        <w:rPr>
          <w:rFonts w:hint="eastAsia" w:ascii="宋体" w:hAnsi="宋体" w:eastAsia="宋体" w:cs="宋体"/>
          <w:bCs/>
          <w:color w:val="auto"/>
          <w:sz w:val="24"/>
          <w:highlight w:val="none"/>
        </w:rPr>
        <w:outlineLvl w:val="1"/>
      </w:pPr>
      <w:r/>
      <w:bookmarkStart w:id="820" w:name="_Toc140670498"/>
      <w:r/>
      <w:bookmarkStart w:id="821" w:name="_Toc169226750"/>
      <w:r/>
      <w:bookmarkStart w:id="822" w:name="_Toc140670361"/>
      <w:r>
        <w:rPr>
          <w:rFonts w:hint="eastAsia" w:ascii="宋体" w:hAnsi="宋体" w:eastAsia="宋体" w:cs="宋体"/>
          <w:bCs/>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bookmarkEnd w:id="820"/>
      <w:r/>
      <w:bookmarkEnd w:id="821"/>
      <w:r/>
      <w:bookmarkEnd w:id="822"/>
      <w:r/>
      <w:r/>
    </w:p>
    <w:p>
      <w:pPr>
        <w:jc w:val="left"/>
        <w:spacing w:line="360" w:lineRule="auto"/>
        <w:rPr>
          <w:rFonts w:hint="eastAsia" w:ascii="宋体" w:hAnsi="宋体" w:eastAsia="宋体" w:cs="宋体"/>
          <w:bCs/>
          <w:color w:val="auto"/>
          <w:sz w:val="24"/>
          <w:highlight w:val="none"/>
        </w:rPr>
        <w:outlineLvl w:val="1"/>
      </w:pPr>
      <w:r/>
      <w:bookmarkStart w:id="823" w:name="_Toc140670362"/>
      <w:r/>
      <w:bookmarkStart w:id="824" w:name="_Toc169226751"/>
      <w:r/>
      <w:bookmarkStart w:id="825" w:name="_Toc140670499"/>
      <w:r>
        <w:rPr>
          <w:rFonts w:hint="eastAsia" w:ascii="宋体" w:hAnsi="宋体" w:eastAsia="宋体" w:cs="宋体"/>
          <w:bCs/>
          <w:color w:val="auto"/>
          <w:sz w:val="24"/>
          <w:highlight w:val="none"/>
        </w:rPr>
        <w:t xml:space="preserve">3）对于多标的的采购项目，投标人应充分、准确地了解所投产品制造企业信息。对相关情况了解不清楚的，不建议填报本声明函。</w:t>
      </w:r>
      <w:bookmarkEnd w:id="823"/>
      <w:r/>
      <w:bookmarkEnd w:id="824"/>
      <w:r/>
      <w:bookmarkEnd w:id="825"/>
      <w:r/>
      <w:r/>
    </w:p>
    <w:p>
      <w:pPr>
        <w:jc w:val="left"/>
        <w:spacing w:line="360" w:lineRule="auto"/>
        <w:rPr>
          <w:rFonts w:hint="eastAsia" w:ascii="宋体" w:hAnsi="宋体" w:eastAsia="宋体" w:cs="宋体"/>
          <w:bCs/>
          <w:color w:val="auto"/>
          <w:sz w:val="24"/>
          <w:highlight w:val="none"/>
        </w:rPr>
        <w:outlineLvl w:val="1"/>
      </w:pPr>
      <w:r/>
      <w:bookmarkStart w:id="826" w:name="_Toc169226752"/>
      <w:r/>
      <w:bookmarkStart w:id="827" w:name="_Toc140670363"/>
      <w:r/>
      <w:bookmarkStart w:id="828" w:name="_Toc140670500"/>
      <w:r>
        <w:rPr>
          <w:rFonts w:hint="eastAsia" w:ascii="宋体" w:hAnsi="宋体" w:eastAsia="宋体" w:cs="宋体"/>
          <w:bCs/>
          <w:color w:val="auto"/>
          <w:sz w:val="24"/>
          <w:highlight w:val="none"/>
        </w:rPr>
        <w:t xml:space="preserve">4）中小企业认定标准以《关于印发中小企业划型标准规定的通知》（工信部联企业〔2011〕300号）文件规定为准。</w:t>
      </w:r>
      <w:bookmarkEnd w:id="826"/>
      <w:r/>
      <w:bookmarkEnd w:id="827"/>
      <w:r/>
      <w:bookmarkEnd w:id="828"/>
      <w:r/>
      <w:r/>
    </w:p>
    <w:p>
      <w:pPr>
        <w:jc w:val="left"/>
        <w:spacing w:line="360" w:lineRule="auto"/>
        <w:rPr>
          <w:rFonts w:hint="eastAsia" w:ascii="宋体" w:hAnsi="宋体" w:eastAsia="宋体" w:cs="宋体"/>
          <w:bCs/>
          <w:color w:val="auto"/>
          <w:sz w:val="24"/>
          <w:highlight w:val="none"/>
        </w:rPr>
        <w:outlineLvl w:val="1"/>
      </w:pPr>
      <w:r/>
      <w:bookmarkStart w:id="829" w:name="_Toc169226753"/>
      <w:r/>
      <w:bookmarkStart w:id="830" w:name="_Toc140670364"/>
      <w:r/>
      <w:bookmarkStart w:id="831" w:name="_Toc140670501"/>
      <w:r>
        <w:rPr>
          <w:rFonts w:hint="eastAsia" w:ascii="宋体" w:hAnsi="宋体" w:eastAsia="宋体" w:cs="宋体"/>
          <w:bCs/>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"http://202.106.120.146/baosong/appweb/orgScale.html" </w:instrText>
      </w:r>
      <w:r>
        <w:rPr>
          <w:rFonts w:hint="eastAsia" w:ascii="宋体" w:hAnsi="宋体" w:eastAsia="宋体" w:cs="宋体"/>
          <w:bCs/>
          <w:color w:val="auto"/>
          <w:sz w:val="24"/>
          <w:highlight w:val="none"/>
        </w:rPr>
        <w:fldChar w:fldCharType="separate"/>
      </w:r>
      <w:r>
        <w:rPr>
          <w:rStyle w:val="1196"/>
          <w:rFonts w:hint="eastAsia" w:ascii="宋体" w:hAnsi="宋体" w:eastAsia="宋体" w:cs="宋体"/>
          <w:bCs/>
          <w:color w:val="auto"/>
          <w:sz w:val="24"/>
          <w:highlight w:val="none"/>
        </w:rPr>
        <w:t xml:space="preserve">http://202.106.120.146/baosong/appweb/orgScale.html</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w:t>
      </w:r>
      <w:bookmarkEnd w:id="829"/>
      <w:r/>
      <w:bookmarkEnd w:id="830"/>
      <w:r/>
      <w:bookmarkEnd w:id="831"/>
      <w:r/>
      <w:r/>
    </w:p>
    <w:p>
      <w:pPr>
        <w:jc w:val="left"/>
        <w:spacing w:line="360" w:lineRule="auto"/>
        <w:rPr>
          <w:rFonts w:hint="eastAsia" w:ascii="宋体" w:hAnsi="宋体" w:eastAsia="宋体" w:cs="宋体"/>
          <w:bCs/>
          <w:color w:val="auto"/>
          <w:sz w:val="24"/>
          <w:highlight w:val="none"/>
        </w:rPr>
        <w:outlineLvl w:val="1"/>
      </w:pPr>
      <w:r/>
      <w:bookmarkStart w:id="832" w:name="_Toc140670502"/>
      <w:r/>
      <w:bookmarkStart w:id="833" w:name="_Toc140670365"/>
      <w:r/>
      <w:bookmarkStart w:id="834" w:name="_Toc169226754"/>
      <w:r>
        <w:rPr>
          <w:rFonts w:hint="eastAsia" w:ascii="宋体" w:hAnsi="宋体" w:eastAsia="宋体" w:cs="宋体"/>
          <w:bCs/>
          <w:color w:val="auto"/>
          <w:sz w:val="24"/>
          <w:highlight w:val="none"/>
        </w:rPr>
        <w:t xml:space="preserve">6）小微企业、残疾人福利性单位未提供声明函的，监狱企业未提供证明的，价格分评审不予价格扣除。</w:t>
      </w:r>
      <w:bookmarkEnd w:id="832"/>
      <w:r/>
      <w:bookmarkEnd w:id="833"/>
      <w:r/>
      <w:bookmarkEnd w:id="834"/>
      <w:r/>
      <w:r/>
    </w:p>
    <w:p>
      <w:pPr>
        <w:jc w:val="left"/>
        <w:spacing w:line="360" w:lineRule="auto"/>
        <w:rPr>
          <w:rFonts w:hint="eastAsia" w:ascii="宋体" w:hAnsi="宋体" w:eastAsia="宋体" w:cs="宋体"/>
          <w:bCs/>
          <w:color w:val="auto"/>
          <w:sz w:val="24"/>
          <w:highlight w:val="none"/>
        </w:rPr>
        <w:outlineLvl w:val="1"/>
      </w:pPr>
      <w:r/>
      <w:bookmarkStart w:id="835" w:name="_Toc140670503"/>
      <w:r/>
      <w:bookmarkStart w:id="836" w:name="_Toc140670366"/>
      <w:r/>
      <w:bookmarkStart w:id="837" w:name="_Toc169226755"/>
      <w:r>
        <w:rPr>
          <w:rFonts w:hint="eastAsia" w:ascii="宋体" w:hAnsi="宋体" w:eastAsia="宋体" w:cs="宋体"/>
          <w:bCs/>
          <w:color w:val="auto"/>
          <w:sz w:val="24"/>
          <w:highlight w:val="none"/>
        </w:rPr>
        <w:t xml:space="preserve">7）在货物采购项目中，供应商提供的货物既有大中型企业制造货物，也有小微企业制造货物的，不享受小微企业扶持政策，不予价格扣除。</w:t>
      </w:r>
      <w:bookmarkEnd w:id="835"/>
      <w:r/>
      <w:bookmarkEnd w:id="836"/>
      <w:r/>
      <w:bookmarkEnd w:id="837"/>
      <w:r/>
      <w:r/>
    </w:p>
    <w:p>
      <w:pPr>
        <w:spacing w:line="360" w:lineRule="auto"/>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before="240" w:after="24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32"/>
          <w:szCs w:val="32"/>
          <w:highlight w:val="none"/>
        </w:rPr>
        <w:t xml:space="preserve">中小企业声明函（服务）格式</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，从业人员______人，营业收入为______万元，资产总额为______万元</w:t>
      </w:r>
      <w:r>
        <w:rPr>
          <w:rFonts w:hint="eastAsia" w:ascii="宋体" w:hAnsi="宋体" w:eastAsia="宋体" w:cs="宋体"/>
          <w:color w:val="auto"/>
          <w:spacing w:val="6"/>
          <w:sz w:val="24"/>
          <w:highlight w:val="none"/>
          <w:vertAlign w:val="superscript"/>
        </w:rPr>
        <w:t xml:space="preserve">1</w:t>
      </w:r>
      <w:r>
        <w:rPr>
          <w:rFonts w:hint="eastAsia" w:ascii="宋体" w:hAnsi="宋体" w:eastAsia="宋体" w:cs="宋体"/>
          <w:color w:val="auto"/>
          <w:spacing w:val="6"/>
          <w:sz w:val="24"/>
          <w:highlight w:val="none"/>
        </w:rPr>
        <w:t xml:space="preserve">，属于（中型企业、小型企业、微型企业）；</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ind w:right="36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企业名称（加盖公章）：________</w:t>
      </w:r>
      <w:r/>
    </w:p>
    <w:p>
      <w:pPr>
        <w:ind w:right="360" w:firstLine="480"/>
        <w:jc w:val="righ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t xml:space="preserve">日 期：________</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bl>
      <w:tblPr>
        <w:tblStyle w:val="93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vertAlign w:val="superscript"/>
              </w:rPr>
              <w:t xml:space="preserve">1</w:t>
            </w:r>
            <w:r>
              <w:rPr>
                <w:rFonts w:hint="eastAsia" w:ascii="宋体" w:hAnsi="宋体" w:eastAsia="宋体" w:cs="宋体"/>
                <w:color w:val="auto"/>
                <w:sz w:val="22"/>
                <w:szCs w:val="22"/>
                <w:highlight w:val="none"/>
              </w:rPr>
              <w:t xml:space="preserve">从业人员、营业收入、资产总额填报上一年度数据，无上一年度数据的新成立企业可不填报。</w:t>
            </w:r>
            <w:r/>
          </w:p>
        </w:tc>
      </w:tr>
    </w:tbl>
    <w:p>
      <w:pPr>
        <w:ind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br w:type="page" w:clear="all"/>
      </w:r>
      <w:r/>
    </w:p>
    <w:p>
      <w:pPr>
        <w:jc w:val="center"/>
        <w:spacing w:before="240" w:after="240" w:line="360" w:lineRule="auto"/>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残疾人福利性单位声明函格式</w:t>
      </w:r>
      <w:r>
        <w:rPr>
          <w:rFonts w:hint="eastAsia" w:ascii="宋体" w:hAnsi="宋体" w:eastAsia="宋体" w:cs="宋体"/>
          <w:color w:val="auto"/>
          <w:sz w:val="36"/>
          <w:szCs w:val="36"/>
          <w:highlight w:val="none"/>
        </w:rPr>
        <w:t xml:space="preserve"> </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w:t>
      </w:r>
      <w:r>
        <w:rPr>
          <w:rFonts w:hint="eastAsia" w:ascii="宋体" w:hAnsi="宋体" w:eastAsia="宋体" w:cs="宋体"/>
          <w:b/>
          <w:color w:val="auto"/>
          <w:sz w:val="24"/>
          <w:highlight w:val="none"/>
        </w:rPr>
        <w:t xml:space="preserve">（请进行勾选）</w:t>
      </w:r>
      <w:r>
        <w:rPr>
          <w:rFonts w:hint="eastAsia" w:ascii="宋体" w:hAnsi="宋体" w:eastAsia="宋体" w:cs="宋体"/>
          <w:color w:val="auto"/>
          <w:spacing w:val="6"/>
          <w:sz w:val="24"/>
          <w:highlight w:val="none"/>
        </w:rPr>
        <w:t xml:space="preserve">：</w:t>
      </w:r>
      <w:r/>
    </w:p>
    <w:p>
      <w:pPr>
        <w:ind w:firstLine="482"/>
        <w:spacing w:line="588" w:lineRule="exact"/>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360" w:lineRule="auto"/>
        <w:rPr>
          <w:rFonts w:hint="eastAsia" w:ascii="宋体" w:hAnsi="宋体" w:eastAsia="宋体" w:cs="宋体"/>
          <w:b/>
          <w:color w:val="auto"/>
          <w:sz w:val="24"/>
          <w:highlight w:val="none"/>
        </w:rPr>
        <w:outlineLvl w:val="2"/>
      </w:pPr>
      <w:r>
        <w:rPr>
          <w:rFonts w:hint="eastAsia" w:ascii="宋体" w:hAnsi="宋体" w:eastAsia="宋体" w:cs="宋体"/>
          <w:b/>
          <w:color w:val="auto"/>
          <w:sz w:val="24"/>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  项目实施方案等，包括但不限于如下主题：</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1）项目组织实施方案；</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2）项目管理方案；</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3）拟达到的标准，配备的人员、设备配置等；</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4）培训方案、技术支持等方案；</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5）优惠条款或承诺；</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6）其他。</w:t>
      </w:r>
      <w:r/>
    </w:p>
    <w:p>
      <w:pPr>
        <w:ind w:firstLine="482"/>
        <w:spacing w:line="560" w:lineRule="exact"/>
        <w:rPr>
          <w:rFonts w:hint="eastAsia" w:ascii="宋体" w:hAnsi="宋体" w:eastAsia="宋体" w:cs="宋体"/>
          <w:color w:val="auto"/>
          <w:sz w:val="24"/>
          <w:szCs w:val="20"/>
          <w:highlight w:val="none"/>
        </w:rPr>
      </w:pPr>
      <w:r>
        <w:rPr>
          <w:rFonts w:hint="eastAsia" w:ascii="宋体" w:hAnsi="宋体" w:eastAsia="宋体" w:cs="宋体"/>
          <w:b/>
          <w:bCs/>
          <w:color w:val="auto"/>
          <w:sz w:val="24"/>
          <w:szCs w:val="20"/>
          <w:highlight w:val="none"/>
        </w:rPr>
        <w:t xml:space="preserve">本项内容可根据评审方法和评审标准要求拟制。</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  参加本项目人员一览表</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参加本项目人员一览表</w:t>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tbl>
      <w:tblPr>
        <w:tblStyle w:val="937"/>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tabs>
          <w:tab w:val="left" w:pos="976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注：参加本项目人员须是投标人正式职工，须同时提供</w:t>
      </w:r>
      <w:r>
        <w:rPr>
          <w:rFonts w:hint="eastAsia" w:ascii="宋体" w:hAnsi="宋体" w:eastAsia="宋体" w:cs="宋体"/>
          <w:b/>
          <w:color w:val="auto"/>
          <w:sz w:val="24"/>
          <w:highlight w:val="none"/>
        </w:rPr>
        <w:t xml:space="preserve">投标人</w:t>
      </w:r>
      <w:r>
        <w:rPr>
          <w:rFonts w:hint="eastAsia" w:ascii="宋体" w:hAnsi="宋体" w:eastAsia="宋体" w:cs="宋体"/>
          <w:b/>
          <w:color w:val="auto"/>
          <w:sz w:val="24"/>
          <w:highlight w:val="none"/>
          <w:lang w:val="zh-CN"/>
        </w:rPr>
        <w:t xml:space="preserve">为其缴纳的</w:t>
      </w:r>
      <w:r>
        <w:rPr>
          <w:rFonts w:hint="eastAsia" w:ascii="宋体" w:hAnsi="宋体" w:eastAsia="宋体" w:cs="宋体"/>
          <w:b/>
          <w:color w:val="auto"/>
          <w:sz w:val="24"/>
          <w:highlight w:val="none"/>
        </w:rPr>
        <w:t xml:space="preserve">投标截止时间</w:t>
      </w:r>
      <w:r>
        <w:rPr>
          <w:rFonts w:hint="eastAsia" w:ascii="宋体" w:hAnsi="宋体" w:eastAsia="宋体" w:cs="宋体"/>
          <w:b/>
          <w:color w:val="auto"/>
          <w:sz w:val="24"/>
          <w:highlight w:val="none"/>
          <w:lang w:val="zh-CN"/>
        </w:rPr>
        <w:t xml:space="preserve">前连续三个月社保证明材料。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br w:type="page" w:clear="all"/>
      </w:r>
      <w:bookmarkStart w:id="838" w:name="_Toc288738397"/>
      <w:r/>
      <w:bookmarkStart w:id="839" w:name="_Toc288738839"/>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  相关业绩案例一览表</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相关业绩案例一览表</w:t>
      </w:r>
      <w:bookmarkEnd w:id="838"/>
      <w:r/>
      <w:bookmarkEnd w:id="839"/>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tbl>
      <w:tblPr>
        <w:tblStyle w:val="93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根据项目具体情况，本表格式可自拟。</w:t>
      </w:r>
      <w:r/>
    </w:p>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default"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12   承诺函</w:t>
      </w:r>
      <w:r/>
    </w:p>
    <w:p>
      <w:pPr>
        <w:jc w:val="center"/>
        <w:rPr>
          <w:rFonts w:hint="eastAsia" w:ascii="宋体" w:hAnsi="宋体" w:eastAsia="宋体" w:cs="Times New Roman"/>
          <w:b/>
          <w:color w:val="auto"/>
          <w:sz w:val="32"/>
          <w:szCs w:val="32"/>
          <w:highlight w:val="none"/>
          <w:lang w:val="en-US" w:eastAsia="en-US"/>
        </w:rPr>
      </w:pPr>
      <w:r>
        <w:rPr>
          <w:rFonts w:hint="eastAsia" w:ascii="宋体" w:hAnsi="宋体" w:eastAsia="宋体" w:cs="Times New Roman"/>
          <w:b/>
          <w:color w:val="auto"/>
          <w:sz w:val="32"/>
          <w:szCs w:val="32"/>
          <w:highlight w:val="none"/>
          <w:lang w:val="en-US" w:eastAsia="en-US"/>
        </w:rPr>
        <w:t xml:space="preserve">承诺函</w:t>
      </w:r>
      <w:r/>
    </w:p>
    <w:p>
      <w:pPr>
        <w:jc w:val="center"/>
        <w:rPr>
          <w:rFonts w:hint="eastAsia" w:ascii="宋体" w:hAnsi="宋体" w:eastAsia="宋体" w:cs="Times New Roman"/>
          <w:b/>
          <w:color w:val="auto"/>
          <w:sz w:val="32"/>
          <w:szCs w:val="32"/>
          <w:highlight w:val="none"/>
          <w:lang w:eastAsia="en-US"/>
        </w:rPr>
      </w:pPr>
      <w:r>
        <w:rPr>
          <w:rFonts w:hint="eastAsia" w:ascii="宋体" w:hAnsi="宋体" w:eastAsia="宋体" w:cs="Times New Roman"/>
          <w:b/>
          <w:color w:val="auto"/>
          <w:sz w:val="32"/>
          <w:szCs w:val="32"/>
          <w:highlight w:val="none"/>
          <w:lang w:eastAsia="en-US"/>
        </w:rPr>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致：江苏常州天宁经济开发区管理委员会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我方已仔细研读</w:t>
      </w:r>
      <w:r>
        <w:rPr>
          <w:rFonts w:hint="eastAsia" w:ascii="宋体" w:hAnsi="宋体" w:cs="宋体"/>
          <w:color w:val="auto"/>
          <w:sz w:val="21"/>
          <w:szCs w:val="21"/>
          <w:highlight w:val="none"/>
          <w:u w:val="single"/>
          <w:lang w:eastAsia="zh-CN"/>
        </w:rPr>
        <w:t xml:space="preserve">龙锦路南侧、大明北路东侧（QQ030201-01）地块固废混合物合规处置项目</w:t>
      </w:r>
      <w:r>
        <w:rPr>
          <w:rFonts w:hint="eastAsia" w:ascii="宋体" w:hAnsi="宋体" w:eastAsia="宋体" w:cs="宋体"/>
          <w:color w:val="auto"/>
          <w:sz w:val="21"/>
          <w:szCs w:val="21"/>
          <w:highlight w:val="none"/>
          <w:lang w:eastAsia="en-US"/>
        </w:rPr>
        <w:t xml:space="preserve">招标文件全部内容，充分知晓并理解项目现状及所有潜在风险，现就项目固体废物属性鉴定及后续处置相关事宜，作出不可撤销承诺，本承诺作为投标文件核心组成部分，与 投标文件具有同等法律效力，我方中标后本承诺自动成为项目合同有效组成部分，对我方具有全程约束力。</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我方确认，本项目涉及的地块固体废物尚未完成法定危险废物属性鉴定，固废具体类别、处置技术标准、环保合规要求均未最终确定，我方已全面评估该事项带来的全部技术、成本、工期及合规风险，自愿承担所有相关风险责任，对此无任何异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2.若案涉固体废物经法定资质鉴定机构鉴定，被认定为危险废物，</w:t>
      </w:r>
      <w:r>
        <w:rPr>
          <w:rFonts w:hint="eastAsia" w:ascii="宋体" w:hAnsi="宋体" w:eastAsia="宋体" w:cs="宋体"/>
          <w:b/>
          <w:bCs/>
          <w:color w:val="auto"/>
          <w:sz w:val="21"/>
          <w:szCs w:val="21"/>
          <w:highlight w:val="none"/>
          <w:lang w:eastAsia="en-US"/>
        </w:rPr>
        <w:t xml:space="preserve">由甲方负责重新编制符合国家、地方危险废物管理法律法规、行业规范及项目实际需求的危险废物专项处置方案</w:t>
      </w:r>
      <w:r>
        <w:rPr>
          <w:rFonts w:hint="eastAsia" w:ascii="宋体" w:hAnsi="宋体" w:eastAsia="宋体" w:cs="宋体"/>
          <w:color w:val="auto"/>
          <w:sz w:val="21"/>
          <w:szCs w:val="21"/>
          <w:highlight w:val="none"/>
          <w:lang w:eastAsia="en-US"/>
        </w:rPr>
        <w:t xml:space="preserve">，我方承诺在甲方发出配合通知后，</w:t>
      </w:r>
      <w:r>
        <w:rPr>
          <w:rFonts w:hint="eastAsia" w:ascii="宋体" w:hAnsi="宋体" w:eastAsia="宋体" w:cs="宋体"/>
          <w:b/>
          <w:bCs/>
          <w:color w:val="auto"/>
          <w:sz w:val="21"/>
          <w:szCs w:val="21"/>
          <w:highlight w:val="none"/>
          <w:lang w:eastAsia="en-US"/>
        </w:rPr>
        <w:t xml:space="preserve">无条件、无理由、无偿配合甲方完成方案编制相关的全部工作</w:t>
      </w:r>
      <w:r>
        <w:rPr>
          <w:rFonts w:hint="eastAsia" w:ascii="宋体" w:hAnsi="宋体" w:eastAsia="宋体" w:cs="宋体"/>
          <w:color w:val="auto"/>
          <w:sz w:val="21"/>
          <w:szCs w:val="21"/>
          <w:highlight w:val="none"/>
          <w:lang w:eastAsia="en-US"/>
        </w:rPr>
        <w:t xml:space="preserve">，包括但不限于提供现场基础数据、配合现场勘查核查、提交企业资质及技术资料、落实方案落地实施、对接监管部门完成方案报审等 所有配合事项，绝不推诿拖延。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3.我方承诺，上述因危险废物鉴定结论产生的所有配合工作，均为我方应尽合同义务，</w:t>
      </w:r>
      <w:r>
        <w:rPr>
          <w:rFonts w:hint="eastAsia" w:ascii="宋体" w:hAnsi="宋体" w:eastAsia="宋体" w:cs="宋体"/>
          <w:b/>
          <w:bCs/>
          <w:color w:val="auto"/>
          <w:sz w:val="21"/>
          <w:szCs w:val="21"/>
          <w:highlight w:val="none"/>
          <w:lang w:eastAsia="en-US"/>
        </w:rPr>
        <w:t xml:space="preserve">甲方无需为此向我方支付任何额外费用、补偿，亦不予工期顺延</w:t>
      </w:r>
      <w:r>
        <w:rPr>
          <w:rFonts w:hint="eastAsia" w:ascii="宋体" w:hAnsi="宋体" w:eastAsia="宋体" w:cs="宋体"/>
          <w:color w:val="auto"/>
          <w:sz w:val="21"/>
          <w:szCs w:val="21"/>
          <w:highlight w:val="none"/>
          <w:lang w:eastAsia="en-US"/>
        </w:rPr>
        <w:t xml:space="preserve">，所有配合相关的人力、物力、交通等成本均已综合计入本次投标报价，我方绝不另行向甲方主张任何费用、索赔或工期顺延要求。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我方承诺严格遵守国家、地方关于固体废物及危险废物管理的相关法律法规，依规配合完成后续全部处置工作，若因我方未按要求配合、配合不到位或违规操作，引发的一切行政处罚、经济损失、法律纠纷，均由我方独立承担全部责任，与甲方无任何关联，甲方无需承担任何连带责任。</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en-US"/>
        </w:rPr>
        <w:t xml:space="preserve">.我方确认，本承诺系真实意思表示，若违反任何一条承诺内容，甲方有权直接取消我方中标资格、单方面解除合同、全额没收履约保证金，同时我方需全额赔偿甲方因此遭受的全部经济损失及名誉损失。</w:t>
      </w:r>
      <w:r/>
    </w:p>
    <w:p>
      <w:pPr>
        <w:ind w:left="173"/>
        <w:jc w:val="left"/>
        <w:spacing w:before="142" w:line="222"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1"/>
          <w:sz w:val="21"/>
          <w:szCs w:val="21"/>
          <w:highlight w:val="none"/>
          <w:lang w:val="en-US" w:eastAsia="en-US" w:bidi="ar-SA"/>
        </w:rPr>
        <w:t xml:space="preserve">投标单位(加盖CA电子公章):</w:t>
      </w:r>
      <w:r>
        <w:rPr>
          <w:rFonts w:hint="eastAsia" w:ascii="宋体" w:hAnsi="宋体" w:eastAsia="宋体" w:cs="宋体"/>
          <w:color w:val="auto"/>
          <w:spacing w:val="-32"/>
          <w:sz w:val="21"/>
          <w:szCs w:val="21"/>
          <w:highlight w:val="none"/>
          <w:lang w:val="en-US" w:eastAsia="en-US" w:bidi="ar-SA"/>
        </w:rPr>
        <w:t xml:space="preserve"> </w:t>
      </w:r>
      <w:r>
        <w:rPr>
          <w:rFonts w:hint="eastAsia" w:ascii="宋体" w:hAnsi="宋体" w:eastAsia="宋体" w:cs="宋体"/>
          <w:color w:val="auto"/>
          <w:sz w:val="21"/>
          <w:szCs w:val="21"/>
          <w:highlight w:val="none"/>
          <w:u w:val="single"/>
          <w:lang w:val="en-US" w:eastAsia="en-US" w:bidi="ar-SA"/>
        </w:rPr>
        <w:t xml:space="preserve">                   </w:t>
      </w:r>
      <w:r/>
    </w:p>
    <w:p>
      <w:pPr>
        <w:ind w:left="173"/>
        <w:jc w:val="left"/>
        <w:spacing w:before="165" w:line="222"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3"/>
          <w:sz w:val="21"/>
          <w:szCs w:val="21"/>
          <w:highlight w:val="none"/>
          <w:lang w:val="en-US" w:eastAsia="en-US" w:bidi="ar-SA"/>
        </w:rPr>
        <w:t xml:space="preserve">法定代表人签字、签章或印鉴:</w:t>
      </w:r>
      <w:r>
        <w:rPr>
          <w:rFonts w:hint="eastAsia" w:ascii="宋体" w:hAnsi="宋体" w:eastAsia="宋体" w:cs="宋体"/>
          <w:color w:val="auto"/>
          <w:sz w:val="21"/>
          <w:szCs w:val="21"/>
          <w:highlight w:val="none"/>
          <w:u w:val="single"/>
          <w:lang w:val="en-US" w:eastAsia="en-US"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en-US" w:bidi="ar-SA"/>
        </w:rPr>
        <w:t xml:space="preserve">       </w:t>
      </w:r>
      <w:r/>
    </w:p>
    <w:p>
      <w:pPr>
        <w:ind w:left="173"/>
        <w:jc w:val="left"/>
        <w:spacing w:before="186" w:line="222"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联系电话：</w:t>
      </w:r>
      <w:r>
        <w:rPr>
          <w:rFonts w:hint="eastAsia" w:ascii="宋体" w:hAnsi="宋体" w:eastAsia="宋体" w:cs="宋体"/>
          <w:color w:val="auto"/>
          <w:sz w:val="21"/>
          <w:szCs w:val="21"/>
          <w:highlight w:val="none"/>
          <w:u w:val="single"/>
          <w:lang w:val="en-US" w:eastAsia="en-US" w:bidi="ar-SA"/>
        </w:rPr>
        <w:t xml:space="preserve">               </w:t>
      </w:r>
      <w:r/>
    </w:p>
    <w:p>
      <w:pPr>
        <w:ind w:left="173"/>
        <w:jc w:val="left"/>
        <w:spacing w:before="187" w:line="223"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3"/>
          <w:sz w:val="21"/>
          <w:szCs w:val="21"/>
          <w:highlight w:val="none"/>
          <w:lang w:val="en-US" w:eastAsia="en-US" w:bidi="ar-SA"/>
        </w:rPr>
        <w:t xml:space="preserve">日期：</w:t>
      </w:r>
      <w:r>
        <w:rPr>
          <w:rFonts w:hint="eastAsia" w:ascii="宋体" w:hAnsi="宋体" w:eastAsia="宋体" w:cs="宋体"/>
          <w:color w:val="auto"/>
          <w:spacing w:val="14"/>
          <w:sz w:val="21"/>
          <w:szCs w:val="21"/>
          <w:highlight w:val="none"/>
          <w:u w:val="single"/>
          <w:lang w:val="en-US" w:eastAsia="en-US" w:bidi="ar-SA"/>
        </w:rPr>
        <w:t xml:space="preserve">     </w:t>
      </w:r>
      <w:r>
        <w:rPr>
          <w:rFonts w:hint="eastAsia" w:ascii="宋体" w:hAnsi="宋体" w:eastAsia="宋体" w:cs="宋体"/>
          <w:color w:val="auto"/>
          <w:spacing w:val="-61"/>
          <w:sz w:val="21"/>
          <w:szCs w:val="21"/>
          <w:highlight w:val="none"/>
          <w:lang w:val="en-US" w:eastAsia="en-US" w:bidi="ar-SA"/>
        </w:rPr>
        <w:t xml:space="preserve"> </w:t>
      </w:r>
      <w:r>
        <w:rPr>
          <w:rFonts w:hint="eastAsia" w:ascii="宋体" w:hAnsi="宋体" w:eastAsia="宋体" w:cs="宋体"/>
          <w:color w:val="auto"/>
          <w:spacing w:val="-23"/>
          <w:sz w:val="21"/>
          <w:szCs w:val="21"/>
          <w:highlight w:val="none"/>
          <w:lang w:val="en-US" w:eastAsia="en-US" w:bidi="ar-SA"/>
        </w:rPr>
        <w:t xml:space="preserve">年</w:t>
      </w:r>
      <w:r>
        <w:rPr>
          <w:rFonts w:hint="eastAsia" w:ascii="宋体" w:hAnsi="宋体" w:eastAsia="宋体" w:cs="宋体"/>
          <w:color w:val="auto"/>
          <w:spacing w:val="-71"/>
          <w:sz w:val="21"/>
          <w:szCs w:val="21"/>
          <w:highlight w:val="none"/>
          <w:lang w:val="en-US" w:eastAsia="en-US" w:bidi="ar-SA"/>
        </w:rPr>
        <w:t xml:space="preserve"> </w:t>
      </w:r>
      <w:r>
        <w:rPr>
          <w:rFonts w:hint="eastAsia" w:ascii="宋体" w:hAnsi="宋体" w:eastAsia="宋体" w:cs="宋体"/>
          <w:color w:val="auto"/>
          <w:spacing w:val="15"/>
          <w:sz w:val="21"/>
          <w:szCs w:val="21"/>
          <w:highlight w:val="none"/>
          <w:u w:val="single"/>
          <w:lang w:val="en-US" w:eastAsia="en-US" w:bidi="ar-SA"/>
        </w:rPr>
        <w:t xml:space="preserve">    </w:t>
      </w:r>
      <w:r>
        <w:rPr>
          <w:rFonts w:hint="eastAsia" w:ascii="宋体" w:hAnsi="宋体" w:eastAsia="宋体" w:cs="宋体"/>
          <w:color w:val="auto"/>
          <w:spacing w:val="-23"/>
          <w:sz w:val="21"/>
          <w:szCs w:val="21"/>
          <w:highlight w:val="none"/>
          <w:u w:val="single"/>
          <w:lang w:val="en-US" w:eastAsia="en-US" w:bidi="ar-SA"/>
        </w:rPr>
        <w:t xml:space="preserve">月</w:t>
      </w:r>
      <w:r>
        <w:rPr>
          <w:rFonts w:hint="eastAsia" w:ascii="宋体" w:hAnsi="宋体" w:eastAsia="宋体" w:cs="宋体"/>
          <w:color w:val="auto"/>
          <w:spacing w:val="26"/>
          <w:sz w:val="21"/>
          <w:szCs w:val="21"/>
          <w:highlight w:val="none"/>
          <w:u w:val="single"/>
          <w:lang w:val="en-US" w:eastAsia="en-US" w:bidi="ar-SA"/>
        </w:rPr>
        <w:t xml:space="preserve">   </w:t>
      </w:r>
      <w:r>
        <w:rPr>
          <w:rFonts w:hint="eastAsia" w:ascii="宋体" w:hAnsi="宋体" w:eastAsia="宋体" w:cs="宋体"/>
          <w:color w:val="auto"/>
          <w:spacing w:val="-23"/>
          <w:sz w:val="21"/>
          <w:szCs w:val="21"/>
          <w:highlight w:val="none"/>
          <w:lang w:val="en-US" w:eastAsia="en-US" w:bidi="ar-SA"/>
        </w:rPr>
        <w:t xml:space="preserve">日</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  招标文件要求提供或投标人认为应附的其他材料</w:t>
      </w:r>
      <w:r/>
    </w:p>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41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82"/>
      </w:rPr>
      <w:framePr w:wrap="around" w:vAnchor="text" w:hAnchor="margin" w:xAlign="right" w:y="1"/>
    </w:pPr>
    <w:r/>
    <w:r/>
  </w:p>
  <w:p>
    <w:pPr>
      <w:pStyle w:val="115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82"/>
      </w:rPr>
      <w:framePr w:wrap="around" w:vAnchor="text" w:hAnchor="margin" w:xAlign="right" w:y="1"/>
    </w:pPr>
    <w:r/>
    <w:r/>
  </w:p>
  <w:p>
    <w:pPr>
      <w:pStyle w:val="1158"/>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8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58"/>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22</w:t>
                    </w:r>
                    <w:r>
                      <w:rPr>
                        <w:rFonts w:ascii="Times New Roman" w:hAnsi="Times New Roman" w:eastAsia="宋体" w:cs="Times New Roman"/>
                        <w:sz w:val="18"/>
                        <w:szCs w:val="24"/>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82"/>
      </w:rPr>
      <w:framePr w:wrap="around" w:vAnchor="text" w:hAnchor="margin" w:xAlign="right" w:y="1"/>
    </w:pPr>
    <w:r>
      <w:rPr>
        <w:rStyle w:val="1182"/>
      </w:rPr>
      <w:fldChar w:fldCharType="begin"/>
    </w:r>
    <w:r>
      <w:rPr>
        <w:rStyle w:val="1182"/>
      </w:rPr>
      <w:instrText xml:space="preserve">PAGE  </w:instrText>
    </w:r>
    <w:r>
      <w:rPr>
        <w:rStyle w:val="1182"/>
      </w:rPr>
      <w:fldChar w:fldCharType="end"/>
    </w:r>
    <w:r/>
  </w:p>
  <w:p>
    <w:pPr>
      <w:pStyle w:val="1158"/>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pPr>
    <w:r>
      <w:rPr>
        <w:rFonts w:hint="eastAsia"/>
      </w:rPr>
      <w:t xml:space="preserve">                                                          </w:t>
    </w:r>
    <w:r>
      <w:rPr>
        <w:rFonts w:hint="eastAsia" w:ascii="宋体" w:hAnsi="宋体" w:eastAsia="宋体" w:cs="宋体"/>
      </w:rPr>
      <w:t xml:space="preserve"> 常州市政府采购项目公开招标文件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rPr>
        <w:rFonts w:hint="eastAsia" w:ascii="宋体" w:hAnsi="宋体" w:eastAsia="宋体" w:cs="宋体"/>
      </w:rPr>
    </w:pPr>
    <w:r>
      <w:rPr>
        <w:rFonts w:hint="eastAsia"/>
      </w:rPr>
      <w:t xml:space="preserve">                                                          </w:t>
    </w:r>
    <w:r>
      <w:rPr>
        <w:rFonts w:hint="eastAsia" w:ascii="宋体" w:hAnsi="宋体" w:eastAsia="宋体" w:cs="宋体"/>
      </w:rPr>
      <w:t xml:space="preserve"> 常州市政府采购项目公开招标文件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7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22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2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2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5"/>
      <w:isLgl w:val="false"/>
      <w:suff w:val="nothing"/>
      <w:lvlText w:val="%1.%2.%3.%4.%5.%6　"/>
      <w:lvlJc w:val="left"/>
      <w:pPr>
        <w:ind w:left="-25" w:firstLine="0"/>
      </w:pPr>
      <w:rPr>
        <w:rFonts w:ascii="Times New Roman" w:hAnsi="Times New Roman" w:eastAsia="宋体"/>
        <w:b/>
        <w:i w:val="0"/>
        <w:sz w:val="28"/>
      </w:rPr>
    </w:lvl>
    <w:lvl w:ilvl="6">
      <w:start w:val="1"/>
      <w:numFmt w:val="lowerLetter"/>
      <w:pStyle w:val="127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4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30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26"/>
      <w:isLgl w:val="false"/>
      <w:suff w:val="tab"/>
      <w:lvlText w:val="%1"/>
      <w:lvlJc w:val="left"/>
      <w:pPr>
        <w:ind w:left="680" w:hanging="680"/>
      </w:pPr>
      <w:rPr>
        <w:rFonts w:hint="eastAsia" w:ascii="宋体" w:hAnsi="宋体" w:eastAsia="宋体"/>
      </w:rPr>
    </w:lvl>
    <w:lvl w:ilvl="1">
      <w:start w:val="1"/>
      <w:numFmt w:val="decimal"/>
      <w:pStyle w:val="1327"/>
      <w:isLgl w:val="false"/>
      <w:suff w:val="tab"/>
      <w:lvlText w:val="%1.%2"/>
      <w:lvlJc w:val="left"/>
      <w:pPr>
        <w:ind w:left="851" w:hanging="851"/>
      </w:pPr>
      <w:rPr>
        <w:rFonts w:hint="eastAsia" w:ascii="宋体" w:hAnsi="宋体" w:eastAsia="宋体"/>
        <w:color w:val="000000"/>
      </w:rPr>
    </w:lvl>
    <w:lvl w:ilvl="2">
      <w:start w:val="1"/>
      <w:numFmt w:val="decimal"/>
      <w:pStyle w:val="132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22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7"/>
  </w:num>
  <w:num w:numId="7">
    <w:abstractNumId w:val="8"/>
  </w:num>
  <w:num w:numId="8">
    <w:abstractNumId w:val="10"/>
  </w:num>
  <w:num w:numId="9">
    <w:abstractNumId w:val="6"/>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6" w:default="1">
    <w:name w:val="Normal"/>
    <w:link w:val="13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name w:val="Heading 1"/>
    <w:basedOn w:val="926"/>
    <w:next w:val="926"/>
    <w:link w:val="962"/>
    <w:uiPriority w:val="9"/>
    <w:qFormat/>
    <w:pPr>
      <w:keepLines/>
      <w:keepNext/>
      <w:spacing w:before="480" w:after="200"/>
      <w:outlineLvl w:val="0"/>
    </w:pPr>
    <w:rPr>
      <w:rFonts w:ascii="Arial" w:hAnsi="Arial" w:eastAsia="Arial" w:cs="Arial"/>
      <w:sz w:val="40"/>
      <w:szCs w:val="40"/>
    </w:rPr>
  </w:style>
  <w:style w:type="paragraph" w:styleId="928">
    <w:name w:val="Heading 2"/>
    <w:basedOn w:val="926"/>
    <w:next w:val="926"/>
    <w:link w:val="1123"/>
    <w:uiPriority w:val="9"/>
    <w:unhideWhenUsed/>
    <w:qFormat/>
    <w:pPr>
      <w:keepLines/>
      <w:keepNext/>
      <w:spacing w:before="360" w:after="200"/>
      <w:outlineLvl w:val="1"/>
    </w:pPr>
    <w:rPr>
      <w:rFonts w:ascii="Arial" w:hAnsi="Arial" w:eastAsia="Arial" w:cs="Arial"/>
      <w:sz w:val="34"/>
    </w:rPr>
  </w:style>
  <w:style w:type="paragraph" w:styleId="929">
    <w:name w:val="Heading 3"/>
    <w:basedOn w:val="926"/>
    <w:next w:val="926"/>
    <w:link w:val="1125"/>
    <w:uiPriority w:val="9"/>
    <w:unhideWhenUsed/>
    <w:qFormat/>
    <w:pPr>
      <w:keepLines/>
      <w:keepNext/>
      <w:spacing w:before="320" w:after="200"/>
      <w:outlineLvl w:val="2"/>
    </w:pPr>
    <w:rPr>
      <w:rFonts w:ascii="Arial" w:hAnsi="Arial" w:eastAsia="Arial" w:cs="Arial"/>
      <w:sz w:val="30"/>
      <w:szCs w:val="30"/>
    </w:rPr>
  </w:style>
  <w:style w:type="paragraph" w:styleId="930">
    <w:name w:val="Heading 4"/>
    <w:basedOn w:val="926"/>
    <w:next w:val="926"/>
    <w:link w:val="965"/>
    <w:uiPriority w:val="9"/>
    <w:unhideWhenUsed/>
    <w:qFormat/>
    <w:pPr>
      <w:keepLines/>
      <w:keepNext/>
      <w:spacing w:before="320" w:after="200"/>
      <w:outlineLvl w:val="3"/>
    </w:pPr>
    <w:rPr>
      <w:rFonts w:ascii="Arial" w:hAnsi="Arial" w:eastAsia="Arial" w:cs="Arial"/>
      <w:b/>
      <w:bCs/>
      <w:sz w:val="26"/>
      <w:szCs w:val="26"/>
    </w:rPr>
  </w:style>
  <w:style w:type="paragraph" w:styleId="931">
    <w:name w:val="Heading 5"/>
    <w:basedOn w:val="926"/>
    <w:next w:val="926"/>
    <w:link w:val="966"/>
    <w:uiPriority w:val="9"/>
    <w:unhideWhenUsed/>
    <w:qFormat/>
    <w:pPr>
      <w:keepLines/>
      <w:keepNext/>
      <w:spacing w:before="320" w:after="200"/>
      <w:outlineLvl w:val="4"/>
    </w:pPr>
    <w:rPr>
      <w:rFonts w:ascii="Arial" w:hAnsi="Arial" w:eastAsia="Arial" w:cs="Arial"/>
      <w:b/>
      <w:bCs/>
      <w:sz w:val="24"/>
      <w:szCs w:val="24"/>
    </w:rPr>
  </w:style>
  <w:style w:type="paragraph" w:styleId="932">
    <w:name w:val="Heading 6"/>
    <w:basedOn w:val="926"/>
    <w:next w:val="926"/>
    <w:link w:val="967"/>
    <w:uiPriority w:val="9"/>
    <w:unhideWhenUsed/>
    <w:qFormat/>
    <w:pPr>
      <w:keepLines/>
      <w:keepNext/>
      <w:spacing w:before="320" w:after="200"/>
      <w:outlineLvl w:val="5"/>
    </w:pPr>
    <w:rPr>
      <w:rFonts w:ascii="Arial" w:hAnsi="Arial" w:eastAsia="Arial" w:cs="Arial"/>
      <w:b/>
      <w:bCs/>
      <w:sz w:val="22"/>
      <w:szCs w:val="22"/>
    </w:rPr>
  </w:style>
  <w:style w:type="paragraph" w:styleId="933">
    <w:name w:val="Heading 7"/>
    <w:basedOn w:val="926"/>
    <w:next w:val="926"/>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934">
    <w:name w:val="Heading 8"/>
    <w:basedOn w:val="926"/>
    <w:next w:val="926"/>
    <w:link w:val="969"/>
    <w:uiPriority w:val="9"/>
    <w:unhideWhenUsed/>
    <w:qFormat/>
    <w:pPr>
      <w:keepLines/>
      <w:keepNext/>
      <w:spacing w:before="320" w:after="200"/>
      <w:outlineLvl w:val="7"/>
    </w:pPr>
    <w:rPr>
      <w:rFonts w:ascii="Arial" w:hAnsi="Arial" w:eastAsia="Arial" w:cs="Arial"/>
      <w:i/>
      <w:iCs/>
      <w:sz w:val="22"/>
      <w:szCs w:val="22"/>
    </w:rPr>
  </w:style>
  <w:style w:type="paragraph" w:styleId="935">
    <w:name w:val="Heading 9"/>
    <w:basedOn w:val="926"/>
    <w:next w:val="926"/>
    <w:link w:val="970"/>
    <w:uiPriority w:val="9"/>
    <w:unhideWhenUsed/>
    <w:qFormat/>
    <w:pPr>
      <w:keepLines/>
      <w:keepNext/>
      <w:spacing w:before="320" w:after="200"/>
      <w:outlineLvl w:val="8"/>
    </w:pPr>
    <w:rPr>
      <w:rFonts w:ascii="Arial" w:hAnsi="Arial" w:eastAsia="Arial" w:cs="Arial"/>
      <w:i/>
      <w:iCs/>
      <w:sz w:val="21"/>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toc 7"/>
    <w:basedOn w:val="926"/>
    <w:next w:val="926"/>
    <w:uiPriority w:val="39"/>
    <w:unhideWhenUsed/>
    <w:qFormat/>
    <w:pPr>
      <w:ind w:left="1701" w:right="0" w:firstLine="0"/>
      <w:spacing w:after="57"/>
    </w:pPr>
  </w:style>
  <w:style w:type="paragraph" w:styleId="939">
    <w:name w:val="Caption"/>
    <w:basedOn w:val="926"/>
    <w:next w:val="9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Body Text"/>
    <w:basedOn w:val="926"/>
    <w:next w:val="926"/>
    <w:uiPriority w:val="0"/>
    <w:qFormat/>
    <w:pPr>
      <w:spacing w:before="120" w:line="22" w:lineRule="atLeast"/>
    </w:pPr>
    <w:rPr>
      <w:rFonts w:ascii="宋体" w:hAnsi="宋体"/>
      <w:sz w:val="24"/>
    </w:rPr>
  </w:style>
  <w:style w:type="paragraph" w:styleId="941">
    <w:name w:val="toc 5"/>
    <w:basedOn w:val="926"/>
    <w:next w:val="926"/>
    <w:uiPriority w:val="39"/>
    <w:unhideWhenUsed/>
    <w:qFormat/>
    <w:pPr>
      <w:ind w:left="1134" w:right="0" w:firstLine="0"/>
      <w:spacing w:after="57"/>
    </w:pPr>
  </w:style>
  <w:style w:type="paragraph" w:styleId="942">
    <w:name w:val="toc 3"/>
    <w:basedOn w:val="926"/>
    <w:next w:val="926"/>
    <w:uiPriority w:val="39"/>
    <w:unhideWhenUsed/>
    <w:qFormat/>
    <w:pPr>
      <w:ind w:left="567" w:right="0" w:firstLine="0"/>
      <w:spacing w:after="57"/>
    </w:pPr>
  </w:style>
  <w:style w:type="paragraph" w:styleId="943">
    <w:name w:val="Plain Text"/>
    <w:uiPriority w:val="99"/>
    <w:qFormat/>
    <w:pPr>
      <w:jc w:val="both"/>
      <w:widowControl w:val="off"/>
    </w:pPr>
    <w:rPr>
      <w:rFonts w:ascii="宋体" w:hAnsi="Courier New" w:eastAsia="宋体" w:cs="Times New Roman"/>
      <w:sz w:val="21"/>
      <w:szCs w:val="24"/>
      <w:lang w:val="en-US" w:eastAsia="zh-CN" w:bidi="ar-SA"/>
    </w:rPr>
  </w:style>
  <w:style w:type="paragraph" w:styleId="944">
    <w:name w:val="toc 8"/>
    <w:basedOn w:val="926"/>
    <w:next w:val="926"/>
    <w:uiPriority w:val="39"/>
    <w:unhideWhenUsed/>
    <w:qFormat/>
    <w:pPr>
      <w:ind w:left="1984" w:right="0" w:firstLine="0"/>
      <w:spacing w:after="57"/>
    </w:pPr>
  </w:style>
  <w:style w:type="paragraph" w:styleId="945">
    <w:name w:val="endnote text"/>
    <w:basedOn w:val="926"/>
    <w:link w:val="1108"/>
    <w:uiPriority w:val="99"/>
    <w:semiHidden/>
    <w:unhideWhenUsed/>
    <w:qFormat/>
    <w:pPr>
      <w:spacing w:after="0" w:line="240" w:lineRule="auto"/>
    </w:pPr>
    <w:rPr>
      <w:sz w:val="20"/>
    </w:rPr>
  </w:style>
  <w:style w:type="paragraph" w:styleId="946">
    <w:name w:val="Footer"/>
    <w:basedOn w:val="926"/>
    <w:link w:val="981"/>
    <w:uiPriority w:val="99"/>
    <w:unhideWhenUsed/>
    <w:qFormat/>
    <w:pPr>
      <w:spacing w:after="0" w:line="240" w:lineRule="auto"/>
      <w:tabs>
        <w:tab w:val="center" w:pos="7143" w:leader="none"/>
        <w:tab w:val="right" w:pos="14287" w:leader="none"/>
      </w:tabs>
    </w:pPr>
  </w:style>
  <w:style w:type="paragraph" w:styleId="947">
    <w:name w:val="Header"/>
    <w:basedOn w:val="926"/>
    <w:link w:val="979"/>
    <w:uiPriority w:val="99"/>
    <w:unhideWhenUsed/>
    <w:qFormat/>
    <w:pPr>
      <w:spacing w:after="0" w:line="240" w:lineRule="auto"/>
      <w:tabs>
        <w:tab w:val="center" w:pos="7143" w:leader="none"/>
        <w:tab w:val="right" w:pos="14287" w:leader="none"/>
      </w:tabs>
    </w:pPr>
  </w:style>
  <w:style w:type="paragraph" w:styleId="948">
    <w:name w:val="toc 1"/>
    <w:basedOn w:val="926"/>
    <w:next w:val="926"/>
    <w:uiPriority w:val="39"/>
    <w:unhideWhenUsed/>
    <w:qFormat/>
    <w:pPr>
      <w:ind w:left="0" w:right="0" w:firstLine="0"/>
      <w:spacing w:after="57"/>
    </w:pPr>
  </w:style>
  <w:style w:type="paragraph" w:styleId="949">
    <w:name w:val="toc 4"/>
    <w:basedOn w:val="926"/>
    <w:next w:val="926"/>
    <w:uiPriority w:val="39"/>
    <w:unhideWhenUsed/>
    <w:qFormat/>
    <w:pPr>
      <w:ind w:left="850" w:right="0" w:firstLine="0"/>
      <w:spacing w:after="57"/>
    </w:pPr>
  </w:style>
  <w:style w:type="paragraph" w:styleId="950">
    <w:name w:val="Subtitle"/>
    <w:basedOn w:val="926"/>
    <w:next w:val="926"/>
    <w:link w:val="974"/>
    <w:uiPriority w:val="11"/>
    <w:qFormat/>
    <w:pPr>
      <w:spacing w:before="200" w:after="200"/>
    </w:pPr>
    <w:rPr>
      <w:sz w:val="24"/>
      <w:szCs w:val="24"/>
    </w:rPr>
  </w:style>
  <w:style w:type="paragraph" w:styleId="951">
    <w:name w:val="footnote text"/>
    <w:basedOn w:val="926"/>
    <w:link w:val="1107"/>
    <w:uiPriority w:val="99"/>
    <w:semiHidden/>
    <w:unhideWhenUsed/>
    <w:qFormat/>
    <w:pPr>
      <w:spacing w:after="40" w:line="240" w:lineRule="auto"/>
    </w:pPr>
    <w:rPr>
      <w:sz w:val="18"/>
    </w:rPr>
  </w:style>
  <w:style w:type="paragraph" w:styleId="952">
    <w:name w:val="toc 6"/>
    <w:basedOn w:val="926"/>
    <w:next w:val="926"/>
    <w:uiPriority w:val="39"/>
    <w:unhideWhenUsed/>
    <w:qFormat/>
    <w:pPr>
      <w:ind w:left="1417" w:right="0" w:firstLine="0"/>
      <w:spacing w:after="57"/>
    </w:pPr>
  </w:style>
  <w:style w:type="paragraph" w:styleId="953">
    <w:name w:val="table of figures"/>
    <w:basedOn w:val="926"/>
    <w:next w:val="926"/>
    <w:uiPriority w:val="99"/>
    <w:unhideWhenUsed/>
    <w:qFormat/>
    <w:pPr>
      <w:spacing w:after="0" w:afterAutospacing="0"/>
    </w:pPr>
  </w:style>
  <w:style w:type="paragraph" w:styleId="954">
    <w:name w:val="toc 2"/>
    <w:basedOn w:val="926"/>
    <w:next w:val="926"/>
    <w:uiPriority w:val="39"/>
    <w:unhideWhenUsed/>
    <w:qFormat/>
    <w:pPr>
      <w:ind w:left="283" w:right="0" w:firstLine="0"/>
      <w:spacing w:after="57"/>
    </w:pPr>
  </w:style>
  <w:style w:type="paragraph" w:styleId="955">
    <w:name w:val="toc 9"/>
    <w:basedOn w:val="926"/>
    <w:next w:val="926"/>
    <w:uiPriority w:val="39"/>
    <w:unhideWhenUsed/>
    <w:qFormat/>
    <w:pPr>
      <w:ind w:left="2268" w:right="0" w:firstLine="0"/>
      <w:spacing w:after="57"/>
    </w:pPr>
  </w:style>
  <w:style w:type="paragraph" w:styleId="956">
    <w:name w:val="Title"/>
    <w:basedOn w:val="926"/>
    <w:next w:val="926"/>
    <w:link w:val="973"/>
    <w:uiPriority w:val="10"/>
    <w:qFormat/>
    <w:pPr>
      <w:contextualSpacing/>
      <w:spacing w:before="300" w:after="200"/>
    </w:pPr>
    <w:rPr>
      <w:sz w:val="48"/>
      <w:szCs w:val="48"/>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endnote reference"/>
    <w:uiPriority w:val="99"/>
    <w:semiHidden/>
    <w:unhideWhenUsed/>
    <w:qFormat/>
    <w:rPr>
      <w:vertAlign w:val="superscript"/>
    </w:rPr>
  </w:style>
  <w:style w:type="character" w:styleId="959">
    <w:name w:val="Hyperlink"/>
    <w:uiPriority w:val="99"/>
    <w:unhideWhenUsed/>
    <w:qFormat/>
    <w:rPr>
      <w:color w:val="0000ff" w:themeColor="hyperlink"/>
      <w:u w:val="single"/>
      <w14:textFill>
        <w14:solidFill>
          <w14:schemeClr w14:val="hlink"/>
        </w14:solidFill>
      </w14:textFill>
    </w:rPr>
  </w:style>
  <w:style w:type="character" w:styleId="960">
    <w:name w:val="footnote reference"/>
    <w:uiPriority w:val="99"/>
    <w:unhideWhenUsed/>
    <w:qFormat/>
    <w:rPr>
      <w:vertAlign w:val="superscript"/>
    </w:rPr>
  </w:style>
  <w:style w:type="paragraph" w:styleId="96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62" w:customStyle="1">
    <w:name w:val="Heading 1 Char"/>
    <w:link w:val="927"/>
    <w:uiPriority w:val="9"/>
    <w:qFormat/>
    <w:rPr>
      <w:rFonts w:ascii="Arial" w:hAnsi="Arial" w:eastAsia="Arial" w:cs="Arial"/>
      <w:sz w:val="40"/>
      <w:szCs w:val="40"/>
    </w:rPr>
  </w:style>
  <w:style w:type="character" w:styleId="963" w:customStyle="1">
    <w:name w:val="Heading 2 Char"/>
    <w:link w:val="928"/>
    <w:uiPriority w:val="9"/>
    <w:qFormat/>
    <w:rPr>
      <w:rFonts w:ascii="Arial" w:hAnsi="Arial" w:eastAsia="Arial" w:cs="Arial"/>
      <w:sz w:val="34"/>
    </w:rPr>
  </w:style>
  <w:style w:type="character" w:styleId="964" w:customStyle="1">
    <w:name w:val="Heading 3 Char"/>
    <w:link w:val="929"/>
    <w:uiPriority w:val="9"/>
    <w:qFormat/>
    <w:rPr>
      <w:rFonts w:ascii="Arial" w:hAnsi="Arial" w:eastAsia="Arial" w:cs="Arial"/>
      <w:sz w:val="30"/>
      <w:szCs w:val="30"/>
    </w:rPr>
  </w:style>
  <w:style w:type="character" w:styleId="965" w:customStyle="1">
    <w:name w:val="Heading 4 Char"/>
    <w:link w:val="930"/>
    <w:uiPriority w:val="9"/>
    <w:qFormat/>
    <w:rPr>
      <w:rFonts w:ascii="Arial" w:hAnsi="Arial" w:eastAsia="Arial" w:cs="Arial"/>
      <w:b/>
      <w:bCs/>
      <w:sz w:val="26"/>
      <w:szCs w:val="26"/>
    </w:rPr>
  </w:style>
  <w:style w:type="character" w:styleId="966" w:customStyle="1">
    <w:name w:val="Heading 5 Char"/>
    <w:link w:val="931"/>
    <w:uiPriority w:val="9"/>
    <w:qFormat/>
    <w:rPr>
      <w:rFonts w:ascii="Arial" w:hAnsi="Arial" w:eastAsia="Arial" w:cs="Arial"/>
      <w:b/>
      <w:bCs/>
      <w:sz w:val="24"/>
      <w:szCs w:val="24"/>
    </w:rPr>
  </w:style>
  <w:style w:type="character" w:styleId="967" w:customStyle="1">
    <w:name w:val="Heading 6 Char"/>
    <w:link w:val="932"/>
    <w:uiPriority w:val="9"/>
    <w:qFormat/>
    <w:rPr>
      <w:rFonts w:ascii="Arial" w:hAnsi="Arial" w:eastAsia="Arial" w:cs="Arial"/>
      <w:b/>
      <w:bCs/>
      <w:sz w:val="22"/>
      <w:szCs w:val="22"/>
    </w:rPr>
  </w:style>
  <w:style w:type="character" w:styleId="968" w:customStyle="1">
    <w:name w:val="Heading 7 Char"/>
    <w:link w:val="933"/>
    <w:uiPriority w:val="9"/>
    <w:qFormat/>
    <w:rPr>
      <w:rFonts w:ascii="Arial" w:hAnsi="Arial" w:eastAsia="Arial" w:cs="Arial"/>
      <w:b/>
      <w:bCs/>
      <w:i/>
      <w:iCs/>
      <w:sz w:val="22"/>
      <w:szCs w:val="22"/>
    </w:rPr>
  </w:style>
  <w:style w:type="character" w:styleId="969" w:customStyle="1">
    <w:name w:val="Heading 8 Char"/>
    <w:link w:val="934"/>
    <w:uiPriority w:val="9"/>
    <w:qFormat/>
    <w:rPr>
      <w:rFonts w:ascii="Arial" w:hAnsi="Arial" w:eastAsia="Arial" w:cs="Arial"/>
      <w:i/>
      <w:iCs/>
      <w:sz w:val="22"/>
      <w:szCs w:val="22"/>
    </w:rPr>
  </w:style>
  <w:style w:type="character" w:styleId="970" w:customStyle="1">
    <w:name w:val="Heading 9 Char"/>
    <w:link w:val="935"/>
    <w:uiPriority w:val="9"/>
    <w:qFormat/>
    <w:rPr>
      <w:rFonts w:ascii="Arial" w:hAnsi="Arial" w:eastAsia="Arial" w:cs="Arial"/>
      <w:i/>
      <w:iCs/>
      <w:sz w:val="21"/>
      <w:szCs w:val="21"/>
    </w:rPr>
  </w:style>
  <w:style w:type="paragraph" w:styleId="971">
    <w:name w:val="List Paragraph"/>
    <w:basedOn w:val="926"/>
    <w:uiPriority w:val="34"/>
    <w:qFormat/>
    <w:pPr>
      <w:contextualSpacing/>
      <w:ind w:left="720"/>
    </w:pPr>
  </w:style>
  <w:style w:type="paragraph" w:styleId="972">
    <w:name w:val="No Spacing"/>
    <w:uiPriority w:val="1"/>
    <w:qFormat/>
    <w:pPr>
      <w:spacing w:before="0" w:after="0" w:line="240" w:lineRule="auto"/>
    </w:pPr>
    <w:rPr>
      <w:rFonts w:hint="default" w:ascii="Times New Roman" w:hAnsi="Times New Roman" w:eastAsia="宋体" w:cs="Times New Roman"/>
    </w:rPr>
  </w:style>
  <w:style w:type="character" w:styleId="973" w:customStyle="1">
    <w:name w:val="Title Char"/>
    <w:link w:val="956"/>
    <w:uiPriority w:val="10"/>
    <w:qFormat/>
    <w:rPr>
      <w:sz w:val="48"/>
      <w:szCs w:val="48"/>
    </w:rPr>
  </w:style>
  <w:style w:type="character" w:styleId="974" w:customStyle="1">
    <w:name w:val="Subtitle Char"/>
    <w:link w:val="950"/>
    <w:uiPriority w:val="11"/>
    <w:qFormat/>
    <w:rPr>
      <w:sz w:val="24"/>
      <w:szCs w:val="24"/>
    </w:rPr>
  </w:style>
  <w:style w:type="paragraph" w:styleId="975">
    <w:name w:val="Quote"/>
    <w:basedOn w:val="926"/>
    <w:next w:val="926"/>
    <w:link w:val="976"/>
    <w:uiPriority w:val="29"/>
    <w:qFormat/>
    <w:pPr>
      <w:ind w:left="720" w:right="720"/>
    </w:pPr>
    <w:rPr>
      <w:i/>
    </w:rPr>
  </w:style>
  <w:style w:type="character" w:styleId="976" w:customStyle="1">
    <w:name w:val="Quote Char"/>
    <w:link w:val="975"/>
    <w:uiPriority w:val="29"/>
    <w:qFormat/>
    <w:rPr>
      <w:i/>
    </w:rPr>
  </w:style>
  <w:style w:type="paragraph" w:styleId="977">
    <w:name w:val="Intense Quote"/>
    <w:basedOn w:val="926"/>
    <w:next w:val="926"/>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Intense Quote Char"/>
    <w:link w:val="977"/>
    <w:uiPriority w:val="30"/>
    <w:qFormat/>
    <w:rPr>
      <w:i/>
    </w:rPr>
  </w:style>
  <w:style w:type="character" w:styleId="979" w:customStyle="1">
    <w:name w:val="Header Char"/>
    <w:link w:val="947"/>
    <w:uiPriority w:val="99"/>
    <w:qFormat/>
  </w:style>
  <w:style w:type="character" w:styleId="980" w:customStyle="1">
    <w:name w:val="Footer Char"/>
    <w:link w:val="946"/>
    <w:uiPriority w:val="99"/>
    <w:qFormat/>
  </w:style>
  <w:style w:type="character" w:styleId="981" w:customStyle="1">
    <w:name w:val="Caption Char"/>
    <w:link w:val="946"/>
    <w:uiPriority w:val="99"/>
    <w:qFormat/>
  </w:style>
  <w:style w:type="table" w:styleId="9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Footnote Text Char"/>
    <w:link w:val="951"/>
    <w:uiPriority w:val="99"/>
    <w:qFormat/>
    <w:rPr>
      <w:sz w:val="18"/>
    </w:rPr>
  </w:style>
  <w:style w:type="character" w:styleId="1108" w:customStyle="1">
    <w:name w:val="Endnote Text Char"/>
    <w:link w:val="945"/>
    <w:uiPriority w:val="99"/>
    <w:qFormat/>
    <w:rPr>
      <w:sz w:val="20"/>
    </w:rPr>
  </w:style>
  <w:style w:type="paragraph" w:styleId="1109" w:customStyle="1">
    <w:name w:val="TOC Heading"/>
    <w:uiPriority w:val="39"/>
    <w:unhideWhenUsed/>
    <w:qFormat/>
    <w:rPr>
      <w:rFonts w:hint="default" w:ascii="Times New Roman" w:hAnsi="Times New Roman" w:eastAsia="宋体" w:cs="Times New Roman"/>
    </w:rPr>
  </w:style>
  <w:style w:type="paragraph" w:styleId="1110" w:customStyle="1">
    <w:name w:val="标题 11"/>
    <w:basedOn w:val="926"/>
    <w:next w:val="926"/>
    <w:link w:val="1122"/>
    <w:uiPriority w:val="0"/>
    <w:qFormat/>
    <w:pPr>
      <w:jc w:val="center"/>
      <w:keepLines/>
      <w:keepNext/>
      <w:spacing w:before="240" w:after="120" w:line="300" w:lineRule="auto"/>
      <w:outlineLvl w:val="0"/>
    </w:pPr>
    <w:rPr>
      <w:rFonts w:ascii="宋体"/>
      <w:b/>
      <w:sz w:val="32"/>
      <w:szCs w:val="20"/>
    </w:rPr>
  </w:style>
  <w:style w:type="paragraph" w:styleId="1111" w:customStyle="1">
    <w:name w:val="标题 21"/>
    <w:basedOn w:val="926"/>
    <w:next w:val="926"/>
    <w:uiPriority w:val="0"/>
    <w:qFormat/>
    <w:pPr>
      <w:jc w:val="center"/>
      <w:keepLines/>
      <w:keepNext/>
      <w:spacing w:before="120" w:line="300" w:lineRule="auto"/>
      <w:outlineLvl w:val="1"/>
    </w:pPr>
    <w:rPr>
      <w:rFonts w:ascii="Arial" w:hAnsi="Arial" w:eastAsia="黑体"/>
      <w:b/>
      <w:sz w:val="30"/>
      <w:szCs w:val="20"/>
    </w:rPr>
  </w:style>
  <w:style w:type="paragraph" w:styleId="1112" w:customStyle="1">
    <w:name w:val="正文缩进111"/>
    <w:basedOn w:val="926"/>
    <w:next w:val="926"/>
    <w:link w:val="1124"/>
    <w:uiPriority w:val="0"/>
    <w:qFormat/>
    <w:pPr>
      <w:ind w:firstLine="420"/>
      <w:jc w:val="left"/>
    </w:pPr>
    <w:rPr>
      <w:rFonts w:ascii="宋体"/>
      <w:sz w:val="24"/>
    </w:rPr>
  </w:style>
  <w:style w:type="paragraph" w:styleId="1113" w:customStyle="1">
    <w:name w:val="标题 31"/>
    <w:basedOn w:val="926"/>
    <w:next w:val="1112"/>
    <w:uiPriority w:val="0"/>
    <w:qFormat/>
    <w:pPr>
      <w:jc w:val="left"/>
      <w:keepLines/>
      <w:keepNext/>
      <w:spacing w:before="360" w:after="120"/>
      <w:outlineLvl w:val="2"/>
    </w:pPr>
    <w:rPr>
      <w:rFonts w:ascii="宋体"/>
      <w:b/>
      <w:sz w:val="24"/>
      <w:szCs w:val="20"/>
      <w:u w:val="single"/>
    </w:rPr>
  </w:style>
  <w:style w:type="paragraph" w:styleId="1114" w:customStyle="1">
    <w:name w:val="标题 41"/>
    <w:basedOn w:val="926"/>
    <w:next w:val="926"/>
    <w:link w:val="1126"/>
    <w:uiPriority w:val="0"/>
    <w:qFormat/>
    <w:pPr>
      <w:keepLines/>
      <w:keepNext/>
      <w:spacing w:before="280" w:after="290" w:line="376" w:lineRule="atLeast"/>
      <w:outlineLvl w:val="3"/>
    </w:pPr>
    <w:rPr>
      <w:rFonts w:ascii="Arial" w:hAnsi="Arial" w:eastAsia="黑体"/>
      <w:b/>
      <w:sz w:val="28"/>
      <w:szCs w:val="20"/>
    </w:rPr>
  </w:style>
  <w:style w:type="paragraph" w:styleId="1115" w:customStyle="1">
    <w:name w:val="标题 51"/>
    <w:basedOn w:val="926"/>
    <w:next w:val="926"/>
    <w:link w:val="1127"/>
    <w:uiPriority w:val="0"/>
    <w:qFormat/>
    <w:pPr>
      <w:keepLines/>
      <w:keepNext/>
      <w:spacing w:before="280" w:after="290" w:line="376" w:lineRule="atLeast"/>
      <w:outlineLvl w:val="4"/>
    </w:pPr>
    <w:rPr>
      <w:b/>
      <w:sz w:val="28"/>
      <w:szCs w:val="20"/>
    </w:rPr>
  </w:style>
  <w:style w:type="paragraph" w:styleId="1116" w:customStyle="1">
    <w:name w:val="标题 61"/>
    <w:basedOn w:val="926"/>
    <w:next w:val="926"/>
    <w:link w:val="1128"/>
    <w:uiPriority w:val="0"/>
    <w:qFormat/>
    <w:pPr>
      <w:keepLines/>
      <w:keepNext/>
      <w:spacing w:before="240" w:after="64" w:line="320" w:lineRule="atLeast"/>
      <w:outlineLvl w:val="5"/>
    </w:pPr>
    <w:rPr>
      <w:rFonts w:ascii="Arial" w:hAnsi="Arial" w:eastAsia="黑体"/>
      <w:b/>
      <w:sz w:val="24"/>
      <w:szCs w:val="20"/>
    </w:rPr>
  </w:style>
  <w:style w:type="paragraph" w:styleId="1117" w:customStyle="1">
    <w:name w:val="标题 71"/>
    <w:basedOn w:val="926"/>
    <w:next w:val="926"/>
    <w:link w:val="1129"/>
    <w:uiPriority w:val="0"/>
    <w:qFormat/>
    <w:pPr>
      <w:keepLines/>
      <w:keepNext/>
      <w:spacing w:before="240" w:after="64" w:line="320" w:lineRule="atLeast"/>
      <w:outlineLvl w:val="6"/>
    </w:pPr>
    <w:rPr>
      <w:b/>
      <w:sz w:val="24"/>
      <w:szCs w:val="20"/>
    </w:rPr>
  </w:style>
  <w:style w:type="paragraph" w:styleId="1118" w:customStyle="1">
    <w:name w:val="标题 81"/>
    <w:basedOn w:val="926"/>
    <w:next w:val="926"/>
    <w:link w:val="1130"/>
    <w:uiPriority w:val="0"/>
    <w:qFormat/>
    <w:pPr>
      <w:keepLines/>
      <w:keepNext/>
      <w:spacing w:before="240" w:after="64" w:line="320" w:lineRule="atLeast"/>
      <w:outlineLvl w:val="7"/>
    </w:pPr>
    <w:rPr>
      <w:rFonts w:ascii="Arial" w:hAnsi="Arial" w:eastAsia="黑体"/>
      <w:sz w:val="24"/>
      <w:szCs w:val="20"/>
    </w:rPr>
  </w:style>
  <w:style w:type="paragraph" w:styleId="1119" w:customStyle="1">
    <w:name w:val="标题 91"/>
    <w:basedOn w:val="926"/>
    <w:next w:val="926"/>
    <w:link w:val="1131"/>
    <w:uiPriority w:val="0"/>
    <w:qFormat/>
    <w:pPr>
      <w:keepLines/>
      <w:keepNext/>
      <w:spacing w:before="240" w:after="64" w:line="320" w:lineRule="atLeast"/>
      <w:outlineLvl w:val="8"/>
    </w:pPr>
    <w:rPr>
      <w:rFonts w:ascii="Arial" w:hAnsi="Arial" w:eastAsia="黑体"/>
      <w:szCs w:val="20"/>
    </w:rPr>
  </w:style>
  <w:style w:type="character" w:styleId="1120" w:customStyle="1">
    <w:name w:val="默认段落字体1"/>
    <w:link w:val="926"/>
    <w:uiPriority w:val="1"/>
    <w:unhideWhenUsed/>
    <w:qFormat/>
  </w:style>
  <w:style w:type="table" w:styleId="1121" w:customStyle="1">
    <w:name w:val="普通表格1"/>
    <w:uiPriority w:val="99"/>
    <w:unhideWhenUsed/>
    <w:qFormat/>
    <w:tblPr/>
  </w:style>
  <w:style w:type="character" w:styleId="1122" w:customStyle="1">
    <w:name w:val="标题 1 字符"/>
    <w:link w:val="1110"/>
    <w:uiPriority w:val="0"/>
    <w:qFormat/>
    <w:rPr>
      <w:rFonts w:ascii="宋体"/>
      <w:b/>
      <w:sz w:val="32"/>
    </w:rPr>
  </w:style>
  <w:style w:type="character" w:styleId="1123" w:customStyle="1">
    <w:name w:val="标题 2 字符"/>
    <w:link w:val="928"/>
    <w:uiPriority w:val="0"/>
    <w:qFormat/>
    <w:rPr>
      <w:rFonts w:ascii="Arial" w:hAnsi="Arial" w:eastAsia="黑体"/>
      <w:b/>
      <w:sz w:val="30"/>
      <w:lang w:val="en-US" w:eastAsia="zh-CN" w:bidi="ar-SA"/>
    </w:rPr>
  </w:style>
  <w:style w:type="character" w:styleId="1124" w:customStyle="1">
    <w:name w:val="正文缩进 字符"/>
    <w:link w:val="1112"/>
    <w:uiPriority w:val="0"/>
    <w:qFormat/>
    <w:rPr>
      <w:rFonts w:ascii="宋体" w:eastAsia="宋体"/>
      <w:sz w:val="24"/>
      <w:szCs w:val="24"/>
      <w:lang w:val="en-US" w:eastAsia="zh-CN" w:bidi="ar-SA"/>
    </w:rPr>
  </w:style>
  <w:style w:type="character" w:styleId="1125" w:customStyle="1">
    <w:name w:val="标题 3 字符"/>
    <w:link w:val="929"/>
    <w:uiPriority w:val="0"/>
    <w:qFormat/>
    <w:rPr>
      <w:rFonts w:ascii="宋体" w:eastAsia="宋体"/>
      <w:b/>
      <w:sz w:val="24"/>
      <w:u w:val="single"/>
      <w:lang w:val="en-US" w:eastAsia="zh-CN" w:bidi="ar-SA"/>
    </w:rPr>
  </w:style>
  <w:style w:type="character" w:styleId="1126" w:customStyle="1">
    <w:name w:val="标题 4 字符"/>
    <w:link w:val="1114"/>
    <w:uiPriority w:val="0"/>
    <w:qFormat/>
    <w:rPr>
      <w:rFonts w:ascii="Arial" w:hAnsi="Arial" w:eastAsia="黑体"/>
      <w:b/>
      <w:sz w:val="28"/>
    </w:rPr>
  </w:style>
  <w:style w:type="character" w:styleId="1127" w:customStyle="1">
    <w:name w:val="标题 5 字符"/>
    <w:link w:val="1115"/>
    <w:uiPriority w:val="0"/>
    <w:qFormat/>
    <w:rPr>
      <w:b/>
      <w:sz w:val="28"/>
    </w:rPr>
  </w:style>
  <w:style w:type="character" w:styleId="1128" w:customStyle="1">
    <w:name w:val="标题 6 字符"/>
    <w:link w:val="1116"/>
    <w:uiPriority w:val="0"/>
    <w:qFormat/>
    <w:rPr>
      <w:rFonts w:ascii="Arial" w:hAnsi="Arial" w:eastAsia="黑体"/>
      <w:b/>
      <w:sz w:val="24"/>
    </w:rPr>
  </w:style>
  <w:style w:type="character" w:styleId="1129" w:customStyle="1">
    <w:name w:val="标题 7 字符"/>
    <w:link w:val="1117"/>
    <w:uiPriority w:val="0"/>
    <w:qFormat/>
    <w:rPr>
      <w:b/>
      <w:sz w:val="24"/>
    </w:rPr>
  </w:style>
  <w:style w:type="character" w:styleId="1130" w:customStyle="1">
    <w:name w:val="标题 8 字符"/>
    <w:link w:val="1118"/>
    <w:uiPriority w:val="0"/>
    <w:qFormat/>
    <w:rPr>
      <w:rFonts w:ascii="Arial" w:hAnsi="Arial" w:eastAsia="黑体"/>
      <w:sz w:val="24"/>
    </w:rPr>
  </w:style>
  <w:style w:type="character" w:styleId="1131" w:customStyle="1">
    <w:name w:val="标题 9 字符"/>
    <w:link w:val="1119"/>
    <w:uiPriority w:val="0"/>
    <w:qFormat/>
    <w:rPr>
      <w:rFonts w:ascii="Arial" w:hAnsi="Arial" w:eastAsia="黑体"/>
      <w:sz w:val="21"/>
    </w:rPr>
  </w:style>
  <w:style w:type="paragraph" w:styleId="1132" w:customStyle="1">
    <w:name w:val="目录 71"/>
    <w:basedOn w:val="926"/>
    <w:next w:val="926"/>
    <w:uiPriority w:val="0"/>
    <w:qFormat/>
    <w:pPr>
      <w:ind w:left="2520"/>
    </w:pPr>
  </w:style>
  <w:style w:type="paragraph" w:styleId="1133" w:customStyle="1">
    <w:name w:val="题注1"/>
    <w:basedOn w:val="926"/>
    <w:next w:val="926"/>
    <w:uiPriority w:val="0"/>
    <w:qFormat/>
    <w:pPr>
      <w:spacing w:line="480" w:lineRule="auto"/>
    </w:pPr>
    <w:rPr>
      <w:rFonts w:ascii="华文中宋" w:hAnsi="华文中宋" w:eastAsia="华文中宋"/>
      <w:sz w:val="36"/>
      <w:szCs w:val="20"/>
    </w:rPr>
  </w:style>
  <w:style w:type="paragraph" w:styleId="1134" w:customStyle="1">
    <w:name w:val="文档结构图1"/>
    <w:basedOn w:val="926"/>
    <w:link w:val="1135"/>
    <w:uiPriority w:val="0"/>
    <w:qFormat/>
    <w:pPr>
      <w:shd w:val="clear" w:color="auto" w:fill="000080"/>
    </w:pPr>
  </w:style>
  <w:style w:type="character" w:styleId="1135" w:customStyle="1">
    <w:name w:val="文档结构图 字符"/>
    <w:link w:val="1134"/>
    <w:uiPriority w:val="0"/>
    <w:qFormat/>
    <w:rPr>
      <w:sz w:val="21"/>
      <w:szCs w:val="24"/>
      <w:shd w:val="clear" w:color="auto" w:fill="000080"/>
    </w:rPr>
  </w:style>
  <w:style w:type="paragraph" w:styleId="1136" w:customStyle="1">
    <w:name w:val="批注文字1"/>
    <w:basedOn w:val="926"/>
    <w:link w:val="1137"/>
    <w:uiPriority w:val="99"/>
    <w:qFormat/>
    <w:pPr>
      <w:jc w:val="left"/>
    </w:pPr>
  </w:style>
  <w:style w:type="character" w:styleId="1137" w:customStyle="1">
    <w:name w:val="批注文字 字符1"/>
    <w:link w:val="1136"/>
    <w:uiPriority w:val="99"/>
    <w:qFormat/>
    <w:rPr>
      <w:sz w:val="21"/>
      <w:szCs w:val="24"/>
    </w:rPr>
  </w:style>
  <w:style w:type="paragraph" w:styleId="1138" w:customStyle="1">
    <w:name w:val="正文文本 31"/>
    <w:basedOn w:val="926"/>
    <w:link w:val="1139"/>
    <w:uiPriority w:val="0"/>
    <w:qFormat/>
    <w:pPr>
      <w:spacing w:after="120"/>
    </w:pPr>
    <w:rPr>
      <w:sz w:val="16"/>
      <w:szCs w:val="16"/>
    </w:rPr>
  </w:style>
  <w:style w:type="character" w:styleId="1139" w:customStyle="1">
    <w:name w:val="正文文本 3 字符"/>
    <w:link w:val="1138"/>
    <w:uiPriority w:val="0"/>
    <w:qFormat/>
    <w:rPr>
      <w:sz w:val="16"/>
      <w:szCs w:val="16"/>
    </w:rPr>
  </w:style>
  <w:style w:type="paragraph" w:styleId="1140" w:customStyle="1">
    <w:name w:val="正文文本1"/>
    <w:basedOn w:val="926"/>
    <w:next w:val="926"/>
    <w:link w:val="1141"/>
    <w:uiPriority w:val="0"/>
    <w:qFormat/>
    <w:pPr>
      <w:spacing w:before="120" w:line="22" w:lineRule="atLeast"/>
      <w:tabs>
        <w:tab w:val="left" w:pos="567" w:leader="none"/>
      </w:tabs>
    </w:pPr>
    <w:rPr>
      <w:rFonts w:ascii="宋体" w:hAnsi="宋体"/>
      <w:sz w:val="24"/>
    </w:rPr>
  </w:style>
  <w:style w:type="character" w:styleId="1141" w:customStyle="1">
    <w:name w:val="正文文本 字符"/>
    <w:link w:val="1140"/>
    <w:uiPriority w:val="0"/>
    <w:qFormat/>
    <w:rPr>
      <w:rFonts w:ascii="宋体" w:hAnsi="宋体"/>
      <w:sz w:val="24"/>
      <w:szCs w:val="24"/>
    </w:rPr>
  </w:style>
  <w:style w:type="paragraph" w:styleId="1142" w:customStyle="1">
    <w:name w:val="正文文本缩进11"/>
    <w:basedOn w:val="926"/>
    <w:link w:val="1143"/>
    <w:uiPriority w:val="0"/>
    <w:qFormat/>
    <w:pPr>
      <w:ind w:firstLine="570"/>
      <w:spacing w:line="360" w:lineRule="auto"/>
    </w:pPr>
    <w:rPr>
      <w:sz w:val="24"/>
    </w:rPr>
  </w:style>
  <w:style w:type="character" w:styleId="1143" w:customStyle="1">
    <w:name w:val="正文文本缩进 字符"/>
    <w:link w:val="1142"/>
    <w:uiPriority w:val="0"/>
    <w:qFormat/>
    <w:rPr>
      <w:rFonts w:eastAsia="宋体"/>
      <w:sz w:val="24"/>
      <w:szCs w:val="24"/>
      <w:lang w:val="en-US" w:eastAsia="zh-CN" w:bidi="ar-SA"/>
    </w:rPr>
  </w:style>
  <w:style w:type="paragraph" w:styleId="1144" w:customStyle="1">
    <w:name w:val="列表 21"/>
    <w:basedOn w:val="926"/>
    <w:uiPriority w:val="0"/>
    <w:qFormat/>
    <w:pPr>
      <w:ind w:left="100" w:hanging="200"/>
    </w:pPr>
  </w:style>
  <w:style w:type="paragraph" w:styleId="1145" w:customStyle="1">
    <w:name w:val="文本块1"/>
    <w:basedOn w:val="926"/>
    <w:uiPriority w:val="0"/>
    <w:qFormat/>
    <w:pPr>
      <w:ind w:left="480" w:right="-341" w:firstLine="513"/>
      <w:widowControl/>
    </w:pPr>
    <w:rPr>
      <w:sz w:val="24"/>
      <w:szCs w:val="20"/>
    </w:rPr>
  </w:style>
  <w:style w:type="paragraph" w:styleId="1146" w:customStyle="1">
    <w:name w:val="目录 51"/>
    <w:basedOn w:val="926"/>
    <w:next w:val="926"/>
    <w:uiPriority w:val="0"/>
    <w:qFormat/>
    <w:pPr>
      <w:ind w:left="1680"/>
    </w:pPr>
  </w:style>
  <w:style w:type="paragraph" w:styleId="1147" w:customStyle="1">
    <w:name w:val="目录 31"/>
    <w:basedOn w:val="926"/>
    <w:next w:val="926"/>
    <w:uiPriority w:val="39"/>
    <w:qFormat/>
    <w:pPr>
      <w:ind w:left="840"/>
    </w:pPr>
  </w:style>
  <w:style w:type="paragraph" w:styleId="1148" w:customStyle="1">
    <w:name w:val="纯文本1"/>
    <w:basedOn w:val="926"/>
    <w:next w:val="1149"/>
    <w:link w:val="1150"/>
    <w:uiPriority w:val="0"/>
    <w:qFormat/>
    <w:rPr>
      <w:rFonts w:hint="eastAsia" w:ascii="宋体" w:hAnsi="Courier New"/>
      <w:szCs w:val="20"/>
    </w:rPr>
  </w:style>
  <w:style w:type="paragraph" w:styleId="1149" w:customStyle="1">
    <w:name w:val="正文缩进11"/>
    <w:basedOn w:val="926"/>
    <w:next w:val="926"/>
    <w:uiPriority w:val="0"/>
    <w:qFormat/>
    <w:pPr>
      <w:ind w:firstLine="420"/>
      <w:jc w:val="left"/>
    </w:pPr>
    <w:rPr>
      <w:rFonts w:ascii="宋体"/>
      <w:sz w:val="24"/>
    </w:rPr>
  </w:style>
  <w:style w:type="character" w:styleId="1150" w:customStyle="1">
    <w:name w:val="纯文本 字符2"/>
    <w:link w:val="1148"/>
    <w:uiPriority w:val="0"/>
    <w:qFormat/>
    <w:rPr>
      <w:rFonts w:hint="eastAsia" w:ascii="宋体" w:hAnsi="Courier New" w:eastAsia="宋体" w:cs="宋体"/>
      <w:sz w:val="21"/>
    </w:rPr>
  </w:style>
  <w:style w:type="paragraph" w:styleId="1151" w:customStyle="1">
    <w:name w:val="目录 81"/>
    <w:basedOn w:val="926"/>
    <w:next w:val="926"/>
    <w:uiPriority w:val="0"/>
    <w:qFormat/>
    <w:pPr>
      <w:ind w:left="2940"/>
    </w:pPr>
  </w:style>
  <w:style w:type="paragraph" w:styleId="1152" w:customStyle="1">
    <w:name w:val="日期1"/>
    <w:basedOn w:val="926"/>
    <w:next w:val="926"/>
    <w:link w:val="1153"/>
    <w:uiPriority w:val="0"/>
    <w:qFormat/>
    <w:pPr>
      <w:ind w:left="100"/>
    </w:pPr>
    <w:rPr>
      <w:rFonts w:ascii="仿宋_GB2312" w:hAnsi="宋体" w:eastAsia="仿宋_GB2312"/>
      <w:color w:val="000000"/>
      <w:sz w:val="24"/>
    </w:rPr>
  </w:style>
  <w:style w:type="character" w:styleId="1153" w:customStyle="1">
    <w:name w:val="日期 字符"/>
    <w:link w:val="1152"/>
    <w:uiPriority w:val="0"/>
    <w:qFormat/>
    <w:rPr>
      <w:rFonts w:ascii="仿宋_GB2312" w:hAnsi="宋体" w:eastAsia="仿宋_GB2312"/>
      <w:color w:val="000000"/>
      <w:sz w:val="24"/>
      <w:szCs w:val="24"/>
    </w:rPr>
  </w:style>
  <w:style w:type="paragraph" w:styleId="1154" w:customStyle="1">
    <w:name w:val="正文文本缩进 21"/>
    <w:basedOn w:val="926"/>
    <w:link w:val="1155"/>
    <w:uiPriority w:val="0"/>
    <w:qFormat/>
    <w:pPr>
      <w:ind w:firstLine="480"/>
    </w:pPr>
    <w:rPr>
      <w:rFonts w:ascii="仿宋_GB2312" w:eastAsia="仿宋_GB2312"/>
      <w:sz w:val="24"/>
    </w:rPr>
  </w:style>
  <w:style w:type="character" w:styleId="1155" w:customStyle="1">
    <w:name w:val="正文文本缩进 2 字符"/>
    <w:link w:val="1154"/>
    <w:uiPriority w:val="0"/>
    <w:qFormat/>
    <w:rPr>
      <w:rFonts w:ascii="仿宋_GB2312" w:eastAsia="仿宋_GB2312"/>
      <w:sz w:val="24"/>
      <w:szCs w:val="24"/>
    </w:rPr>
  </w:style>
  <w:style w:type="paragraph" w:styleId="1156" w:customStyle="1">
    <w:name w:val="批注框文本1"/>
    <w:basedOn w:val="926"/>
    <w:link w:val="1157"/>
    <w:uiPriority w:val="0"/>
    <w:qFormat/>
    <w:rPr>
      <w:sz w:val="18"/>
      <w:szCs w:val="18"/>
    </w:rPr>
  </w:style>
  <w:style w:type="character" w:styleId="1157" w:customStyle="1">
    <w:name w:val="批注框文本 字符"/>
    <w:link w:val="1156"/>
    <w:uiPriority w:val="0"/>
    <w:qFormat/>
    <w:rPr>
      <w:sz w:val="18"/>
      <w:szCs w:val="18"/>
    </w:rPr>
  </w:style>
  <w:style w:type="paragraph" w:styleId="1158" w:customStyle="1">
    <w:name w:val="页脚1"/>
    <w:basedOn w:val="926"/>
    <w:link w:val="1159"/>
    <w:uiPriority w:val="99"/>
    <w:qFormat/>
    <w:pPr>
      <w:jc w:val="left"/>
      <w:tabs>
        <w:tab w:val="center" w:pos="4153" w:leader="none"/>
        <w:tab w:val="right" w:pos="8306" w:leader="none"/>
      </w:tabs>
    </w:pPr>
    <w:rPr>
      <w:rFonts w:ascii="宋体"/>
      <w:sz w:val="18"/>
      <w:szCs w:val="20"/>
    </w:rPr>
  </w:style>
  <w:style w:type="character" w:styleId="1159" w:customStyle="1">
    <w:name w:val="页脚 字符"/>
    <w:link w:val="1158"/>
    <w:uiPriority w:val="99"/>
    <w:qFormat/>
    <w:rPr>
      <w:rFonts w:ascii="宋体" w:eastAsia="宋体"/>
      <w:sz w:val="18"/>
      <w:lang w:val="en-US" w:eastAsia="zh-CN" w:bidi="ar-SA"/>
    </w:rPr>
  </w:style>
  <w:style w:type="paragraph" w:styleId="1160" w:customStyle="1">
    <w:name w:val="页眉1"/>
    <w:basedOn w:val="926"/>
    <w:link w:val="1161"/>
    <w:uiPriority w:val="0"/>
    <w:qFormat/>
    <w:pPr>
      <w:jc w:val="center"/>
      <w:tabs>
        <w:tab w:val="center" w:pos="4153" w:leader="none"/>
        <w:tab w:val="right" w:pos="8306" w:leader="none"/>
      </w:tabs>
      <w:pBdr>
        <w:bottom w:val="single" w:color="000000" w:sz="6" w:space="1"/>
      </w:pBdr>
    </w:pPr>
    <w:rPr>
      <w:sz w:val="18"/>
      <w:szCs w:val="18"/>
    </w:rPr>
  </w:style>
  <w:style w:type="character" w:styleId="1161" w:customStyle="1">
    <w:name w:val="页眉 字符"/>
    <w:link w:val="1160"/>
    <w:uiPriority w:val="0"/>
    <w:qFormat/>
    <w:rPr>
      <w:rFonts w:eastAsia="宋体"/>
      <w:sz w:val="18"/>
      <w:szCs w:val="18"/>
      <w:lang w:val="en-US" w:eastAsia="zh-CN" w:bidi="ar-SA"/>
    </w:rPr>
  </w:style>
  <w:style w:type="paragraph" w:styleId="1162" w:customStyle="1">
    <w:name w:val="目录 11"/>
    <w:basedOn w:val="926"/>
    <w:next w:val="926"/>
    <w:uiPriority w:val="39"/>
    <w:qFormat/>
    <w:pPr>
      <w:spacing w:line="300" w:lineRule="auto"/>
      <w:tabs>
        <w:tab w:val="left" w:pos="1050" w:leader="none"/>
        <w:tab w:val="right" w:pos="8937" w:leader="dot"/>
      </w:tabs>
    </w:pPr>
    <w:rPr>
      <w:rFonts w:ascii="宋体" w:hAnsi="宋体"/>
      <w:b/>
      <w:sz w:val="24"/>
    </w:rPr>
  </w:style>
  <w:style w:type="paragraph" w:styleId="1163" w:customStyle="1">
    <w:name w:val="目录 41"/>
    <w:basedOn w:val="926"/>
    <w:next w:val="926"/>
    <w:uiPriority w:val="0"/>
    <w:qFormat/>
    <w:pPr>
      <w:ind w:left="1260"/>
    </w:pPr>
  </w:style>
  <w:style w:type="paragraph" w:styleId="1164" w:customStyle="1">
    <w:name w:val="目录 61"/>
    <w:basedOn w:val="926"/>
    <w:next w:val="926"/>
    <w:uiPriority w:val="0"/>
    <w:qFormat/>
    <w:pPr>
      <w:ind w:left="2100"/>
    </w:pPr>
  </w:style>
  <w:style w:type="paragraph" w:styleId="1165" w:customStyle="1">
    <w:name w:val="正文文本缩进 31"/>
    <w:basedOn w:val="926"/>
    <w:link w:val="1166"/>
    <w:uiPriority w:val="0"/>
    <w:qFormat/>
    <w:pPr>
      <w:ind w:left="720" w:firstLine="480"/>
      <w:jc w:val="left"/>
      <w:spacing w:before="120" w:line="22" w:lineRule="atLeast"/>
    </w:pPr>
    <w:rPr>
      <w:rFonts w:ascii="宋体"/>
      <w:sz w:val="24"/>
      <w:szCs w:val="20"/>
    </w:rPr>
  </w:style>
  <w:style w:type="character" w:styleId="1166" w:customStyle="1">
    <w:name w:val="正文文本缩进 3 字符"/>
    <w:link w:val="1165"/>
    <w:uiPriority w:val="0"/>
    <w:qFormat/>
    <w:rPr>
      <w:rFonts w:ascii="宋体"/>
      <w:sz w:val="24"/>
    </w:rPr>
  </w:style>
  <w:style w:type="paragraph" w:styleId="1167" w:customStyle="1">
    <w:name w:val="目录 21"/>
    <w:basedOn w:val="926"/>
    <w:next w:val="926"/>
    <w:uiPriority w:val="39"/>
    <w:qFormat/>
    <w:pPr>
      <w:ind w:left="420"/>
      <w:spacing w:line="312" w:lineRule="auto"/>
      <w:tabs>
        <w:tab w:val="right" w:pos="8937" w:leader="dot"/>
      </w:tabs>
    </w:pPr>
  </w:style>
  <w:style w:type="paragraph" w:styleId="1168" w:customStyle="1">
    <w:name w:val="目录 91"/>
    <w:basedOn w:val="926"/>
    <w:next w:val="926"/>
    <w:uiPriority w:val="0"/>
    <w:qFormat/>
    <w:pPr>
      <w:ind w:left="3360"/>
    </w:pPr>
  </w:style>
  <w:style w:type="paragraph" w:styleId="1169" w:customStyle="1">
    <w:name w:val="HTML 预设格式1"/>
    <w:basedOn w:val="926"/>
    <w:link w:val="11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0" w:customStyle="1">
    <w:name w:val="HTML 预设格式 字符"/>
    <w:link w:val="1169"/>
    <w:uiPriority w:val="0"/>
    <w:qFormat/>
    <w:rPr>
      <w:rFonts w:ascii="宋体" w:hAnsi="宋体" w:cs="宋体"/>
      <w:sz w:val="24"/>
      <w:szCs w:val="24"/>
    </w:rPr>
  </w:style>
  <w:style w:type="paragraph" w:styleId="1171" w:customStyle="1">
    <w:name w:val="普通(网站)1"/>
    <w:basedOn w:val="926"/>
    <w:uiPriority w:val="99"/>
    <w:unhideWhenUsed/>
    <w:qFormat/>
    <w:pPr>
      <w:jc w:val="left"/>
      <w:spacing w:before="100" w:beforeAutospacing="1" w:after="100" w:afterAutospacing="1"/>
      <w:widowControl/>
    </w:pPr>
    <w:rPr>
      <w:rFonts w:ascii="宋体" w:hAnsi="宋体" w:cs="宋体"/>
      <w:sz w:val="24"/>
    </w:rPr>
  </w:style>
  <w:style w:type="paragraph" w:styleId="1172" w:customStyle="1">
    <w:name w:val="索引 11"/>
    <w:basedOn w:val="926"/>
    <w:next w:val="926"/>
    <w:uiPriority w:val="0"/>
    <w:qFormat/>
    <w:rPr>
      <w:szCs w:val="20"/>
    </w:rPr>
  </w:style>
  <w:style w:type="paragraph" w:styleId="1173" w:customStyle="1">
    <w:name w:val="标题1"/>
    <w:basedOn w:val="926"/>
    <w:link w:val="1174"/>
    <w:uiPriority w:val="0"/>
    <w:qFormat/>
    <w:pPr>
      <w:jc w:val="center"/>
      <w:outlineLvl w:val="0"/>
    </w:pPr>
    <w:rPr>
      <w:b/>
      <w:sz w:val="32"/>
      <w:szCs w:val="20"/>
    </w:rPr>
  </w:style>
  <w:style w:type="character" w:styleId="1174" w:customStyle="1">
    <w:name w:val="标题 字符"/>
    <w:link w:val="1173"/>
    <w:uiPriority w:val="0"/>
    <w:qFormat/>
    <w:rPr>
      <w:b/>
      <w:sz w:val="32"/>
    </w:rPr>
  </w:style>
  <w:style w:type="paragraph" w:styleId="1175" w:customStyle="1">
    <w:name w:val="批注主题1"/>
    <w:basedOn w:val="1136"/>
    <w:next w:val="1136"/>
    <w:link w:val="1176"/>
    <w:uiPriority w:val="0"/>
    <w:qFormat/>
    <w:rPr>
      <w:b/>
      <w:bCs/>
    </w:rPr>
  </w:style>
  <w:style w:type="character" w:styleId="1176" w:customStyle="1">
    <w:name w:val="批注主题 字符"/>
    <w:link w:val="1175"/>
    <w:uiPriority w:val="0"/>
    <w:qFormat/>
    <w:rPr>
      <w:rFonts w:ascii="Times New Roman" w:hAnsi="Times New Roman" w:eastAsia="宋体" w:cs="Times New Roman"/>
      <w:b/>
      <w:bCs/>
      <w:sz w:val="21"/>
      <w:szCs w:val="24"/>
      <w:lang w:val="en-US" w:eastAsia="zh-CN" w:bidi="ar-SA"/>
    </w:rPr>
  </w:style>
  <w:style w:type="paragraph" w:styleId="1177" w:customStyle="1">
    <w:name w:val="正文首行缩进 21"/>
    <w:basedOn w:val="1142"/>
    <w:link w:val="1178"/>
    <w:uiPriority w:val="0"/>
    <w:qFormat/>
    <w:pPr>
      <w:ind w:left="420" w:firstLine="420"/>
      <w:spacing w:after="120" w:line="480" w:lineRule="exact"/>
    </w:pPr>
    <w:rPr>
      <w:szCs w:val="20"/>
    </w:rPr>
  </w:style>
  <w:style w:type="character" w:styleId="1178" w:customStyle="1">
    <w:name w:val="正文首行缩进 2 字符"/>
    <w:link w:val="1177"/>
    <w:uiPriority w:val="0"/>
    <w:qFormat/>
    <w:rPr>
      <w:rFonts w:eastAsia="宋体"/>
      <w:sz w:val="24"/>
      <w:szCs w:val="24"/>
      <w:lang w:val="en-US" w:eastAsia="zh-CN" w:bidi="ar-SA"/>
    </w:rPr>
  </w:style>
  <w:style w:type="table" w:styleId="1179" w:customStyle="1">
    <w:name w:val="网格型1"/>
    <w:basedOn w:val="1121"/>
    <w:uiPriority w:val="39"/>
    <w:qFormat/>
    <w:tblPr/>
  </w:style>
  <w:style w:type="table" w:styleId="1180" w:customStyle="1">
    <w:name w:val="中等深浅网格 1 - 强调文字颜色 21"/>
    <w:basedOn w:val="1121"/>
    <w:uiPriority w:val="0"/>
    <w:qFormat/>
    <w:rPr>
      <w:sz w:val="21"/>
      <w:szCs w:val="24"/>
    </w:rPr>
    <w:tblPr/>
  </w:style>
  <w:style w:type="character" w:styleId="1181" w:customStyle="1">
    <w:name w:val="要点1"/>
    <w:link w:val="926"/>
    <w:uiPriority w:val="0"/>
    <w:qFormat/>
    <w:rPr>
      <w:b/>
      <w:bCs/>
    </w:rPr>
  </w:style>
  <w:style w:type="character" w:styleId="1182" w:customStyle="1">
    <w:name w:val="页码1"/>
    <w:link w:val="926"/>
    <w:uiPriority w:val="0"/>
    <w:qFormat/>
  </w:style>
  <w:style w:type="character" w:styleId="1183" w:customStyle="1">
    <w:name w:val="已访问的超链接1"/>
    <w:link w:val="926"/>
    <w:uiPriority w:val="0"/>
    <w:qFormat/>
    <w:rPr>
      <w:color w:val="800080"/>
      <w:u w:val="none"/>
    </w:rPr>
  </w:style>
  <w:style w:type="character" w:styleId="1184" w:customStyle="1">
    <w:name w:val="强调1"/>
    <w:link w:val="926"/>
    <w:uiPriority w:val="0"/>
    <w:qFormat/>
    <w:rPr>
      <w:color w:val="cc0033"/>
    </w:rPr>
  </w:style>
  <w:style w:type="character" w:styleId="1185" w:customStyle="1">
    <w:name w:val="HTML 定义1"/>
    <w:link w:val="926"/>
    <w:uiPriority w:val="0"/>
    <w:qFormat/>
  </w:style>
  <w:style w:type="character" w:styleId="1186" w:customStyle="1">
    <w:name w:val="HTML 打字机1"/>
    <w:link w:val="926"/>
    <w:uiPriority w:val="0"/>
    <w:qFormat/>
    <w:rPr>
      <w:rFonts w:ascii="monospace" w:hAnsi="monospace" w:eastAsia="monospace" w:cs="monospace"/>
      <w:sz w:val="20"/>
    </w:rPr>
  </w:style>
  <w:style w:type="character" w:styleId="1187" w:customStyle="1">
    <w:name w:val="HTML 缩写1"/>
    <w:link w:val="926"/>
    <w:uiPriority w:val="0"/>
    <w:qFormat/>
  </w:style>
  <w:style w:type="character" w:styleId="1188" w:customStyle="1">
    <w:name w:val="HTML 变量1"/>
    <w:link w:val="926"/>
    <w:uiPriority w:val="0"/>
    <w:qFormat/>
  </w:style>
  <w:style w:type="character" w:styleId="1189" w:customStyle="1">
    <w:name w:val="超链接11"/>
    <w:link w:val="926"/>
    <w:uiPriority w:val="99"/>
    <w:qFormat/>
    <w:rPr>
      <w:color w:val="0000ff"/>
      <w:u w:val="none"/>
    </w:rPr>
  </w:style>
  <w:style w:type="character" w:styleId="1190" w:customStyle="1">
    <w:name w:val="HTML 代码1"/>
    <w:link w:val="926"/>
    <w:uiPriority w:val="0"/>
    <w:qFormat/>
    <w:rPr>
      <w:rFonts w:ascii="monospace" w:hAnsi="monospace" w:eastAsia="monospace" w:cs="monospace"/>
      <w:sz w:val="20"/>
    </w:rPr>
  </w:style>
  <w:style w:type="character" w:styleId="1191" w:customStyle="1">
    <w:name w:val="批注引用1"/>
    <w:link w:val="926"/>
    <w:uiPriority w:val="99"/>
    <w:qFormat/>
    <w:rPr>
      <w:sz w:val="21"/>
      <w:szCs w:val="21"/>
    </w:rPr>
  </w:style>
  <w:style w:type="character" w:styleId="1192" w:customStyle="1">
    <w:name w:val="HTML 引文1"/>
    <w:link w:val="926"/>
    <w:uiPriority w:val="0"/>
    <w:qFormat/>
    <w:rPr>
      <w:i/>
      <w:iCs/>
    </w:rPr>
  </w:style>
  <w:style w:type="character" w:styleId="1193" w:customStyle="1">
    <w:name w:val="HTML 键盘1"/>
    <w:link w:val="926"/>
    <w:uiPriority w:val="0"/>
    <w:qFormat/>
    <w:rPr>
      <w:rFonts w:ascii="monospace" w:hAnsi="monospace" w:eastAsia="monospace" w:cs="monospace"/>
      <w:sz w:val="20"/>
    </w:rPr>
  </w:style>
  <w:style w:type="character" w:styleId="1194" w:customStyle="1">
    <w:name w:val="HTML 样本1"/>
    <w:link w:val="926"/>
    <w:uiPriority w:val="0"/>
    <w:qFormat/>
    <w:rPr>
      <w:rFonts w:ascii="monospace" w:hAnsi="monospace" w:eastAsia="monospace" w:cs="monospace"/>
    </w:rPr>
  </w:style>
  <w:style w:type="character" w:styleId="1195" w:customStyle="1">
    <w:name w:val="批注文字 字符"/>
    <w:link w:val="926"/>
    <w:uiPriority w:val="99"/>
    <w:qFormat/>
    <w:rPr>
      <w:rFonts w:ascii="Times New Roman" w:hAnsi="Times New Roman" w:eastAsia="宋体" w:cs="Times New Roman"/>
      <w:sz w:val="24"/>
      <w:lang w:val="en-US" w:eastAsia="zh-CN" w:bidi="ar-SA"/>
    </w:rPr>
  </w:style>
  <w:style w:type="character" w:styleId="1196" w:customStyle="1">
    <w:name w:val="超链接1"/>
    <w:link w:val="926"/>
    <w:uiPriority w:val="99"/>
    <w:qFormat/>
    <w:rPr>
      <w:sz w:val="21"/>
      <w:szCs w:val="24"/>
      <w:lang w:val="en-US" w:eastAsia="zh-CN" w:bidi="ar-SA"/>
    </w:rPr>
  </w:style>
  <w:style w:type="character" w:styleId="1197" w:customStyle="1">
    <w:name w:val="正文缩进 Char"/>
    <w:link w:val="926"/>
    <w:uiPriority w:val="0"/>
    <w:qFormat/>
    <w:rPr>
      <w:sz w:val="21"/>
      <w:szCs w:val="24"/>
      <w:lang w:val="en-US" w:eastAsia="zh-CN" w:bidi="ar-SA"/>
    </w:rPr>
  </w:style>
  <w:style w:type="character" w:styleId="1198" w:customStyle="1">
    <w:name w:val="c21"/>
    <w:link w:val="926"/>
    <w:uiPriority w:val="0"/>
    <w:qFormat/>
    <w:rPr>
      <w:rFonts w:ascii="ˎ̥" w:hAnsi="ˎ̥"/>
      <w:color w:val="000000"/>
      <w:sz w:val="20"/>
      <w:szCs w:val="20"/>
      <w:u w:val="none"/>
    </w:rPr>
  </w:style>
  <w:style w:type="character" w:styleId="1199" w:customStyle="1">
    <w:name w:val="title4"/>
    <w:link w:val="926"/>
    <w:uiPriority w:val="0"/>
    <w:qFormat/>
    <w:rPr>
      <w:b/>
      <w:bCs/>
      <w:color w:val="1d87b3"/>
      <w:sz w:val="15"/>
      <w:szCs w:val="15"/>
    </w:rPr>
  </w:style>
  <w:style w:type="character" w:styleId="1200" w:customStyle="1">
    <w:name w:val="标题 2 Char Char"/>
    <w:link w:val="926"/>
    <w:uiPriority w:val="0"/>
    <w:qFormat/>
    <w:rPr>
      <w:rFonts w:ascii="Arial" w:hAnsi="Arial" w:eastAsia="黑体"/>
      <w:b/>
      <w:bCs/>
      <w:sz w:val="32"/>
      <w:szCs w:val="32"/>
      <w:lang w:val="en-US" w:eastAsia="zh-CN" w:bidi="ar-SA"/>
    </w:rPr>
  </w:style>
  <w:style w:type="character" w:styleId="1201" w:customStyle="1">
    <w:name w:val="black1"/>
    <w:link w:val="926"/>
    <w:uiPriority w:val="0"/>
    <w:qFormat/>
    <w:rPr>
      <w:color w:val="000000"/>
    </w:rPr>
  </w:style>
  <w:style w:type="character" w:styleId="1202" w:customStyle="1">
    <w:name w:val="street-address"/>
    <w:link w:val="926"/>
    <w:uiPriority w:val="0"/>
    <w:qFormat/>
  </w:style>
  <w:style w:type="character" w:styleId="1203" w:customStyle="1">
    <w:name w:val="locality"/>
    <w:link w:val="926"/>
    <w:uiPriority w:val="0"/>
    <w:qFormat/>
  </w:style>
  <w:style w:type="character" w:styleId="1204" w:customStyle="1">
    <w:name w:val="正文文本缩进 Char1"/>
    <w:link w:val="1205"/>
    <w:uiPriority w:val="0"/>
    <w:qFormat/>
    <w:rPr>
      <w:rFonts w:ascii="宋体" w:hAnsi="宋体" w:eastAsia="宋体"/>
      <w:sz w:val="24"/>
      <w:szCs w:val="24"/>
      <w:lang w:bidi="ar-SA"/>
    </w:rPr>
  </w:style>
  <w:style w:type="paragraph" w:styleId="1205" w:customStyle="1">
    <w:name w:val="正文文本缩进1"/>
    <w:basedOn w:val="926"/>
    <w:link w:val="1204"/>
    <w:uiPriority w:val="0"/>
    <w:qFormat/>
    <w:pPr>
      <w:ind w:firstLine="480"/>
      <w:spacing w:line="480" w:lineRule="exact"/>
    </w:pPr>
    <w:rPr>
      <w:rFonts w:ascii="宋体" w:hAnsi="宋体"/>
      <w:sz w:val="24"/>
    </w:rPr>
  </w:style>
  <w:style w:type="character" w:styleId="1206" w:customStyle="1">
    <w:name w:val="Char Char11"/>
    <w:link w:val="926"/>
    <w:uiPriority w:val="0"/>
    <w:qFormat/>
    <w:rPr>
      <w:rFonts w:ascii="宋体" w:eastAsia="宋体"/>
      <w:b/>
      <w:sz w:val="24"/>
      <w:u w:val="single"/>
      <w:lang w:val="en-US" w:eastAsia="zh-CN" w:bidi="ar-SA"/>
    </w:rPr>
  </w:style>
  <w:style w:type="character" w:styleId="1207" w:customStyle="1">
    <w:name w:val="txt"/>
    <w:link w:val="926"/>
    <w:uiPriority w:val="0"/>
    <w:qFormat/>
  </w:style>
  <w:style w:type="character" w:styleId="1208" w:customStyle="1">
    <w:name w:val="正文缩进 Char Char"/>
    <w:link w:val="1209"/>
    <w:uiPriority w:val="0"/>
    <w:qFormat/>
    <w:rPr>
      <w:rFonts w:ascii="宋体" w:eastAsia="宋体"/>
      <w:color w:val="000000"/>
      <w:sz w:val="28"/>
      <w:lang w:bidi="ar-SA"/>
    </w:rPr>
  </w:style>
  <w:style w:type="paragraph" w:styleId="1209" w:customStyle="1">
    <w:name w:val="正文缩进1"/>
    <w:basedOn w:val="926"/>
    <w:link w:val="1208"/>
    <w:uiPriority w:val="0"/>
    <w:qFormat/>
    <w:pPr>
      <w:ind w:firstLine="567"/>
      <w:spacing w:line="480" w:lineRule="exact"/>
      <w:widowControl/>
    </w:pPr>
    <w:rPr>
      <w:rFonts w:ascii="宋体"/>
      <w:color w:val="000000"/>
      <w:sz w:val="28"/>
      <w:szCs w:val="20"/>
    </w:rPr>
  </w:style>
  <w:style w:type="character" w:styleId="1210" w:customStyle="1">
    <w:name w:val="普通文字1 Char1"/>
    <w:link w:val="926"/>
    <w:uiPriority w:val="0"/>
    <w:qFormat/>
    <w:rPr>
      <w:rFonts w:ascii="宋体" w:hAnsi="Courier New" w:eastAsia="宋体"/>
      <w:sz w:val="21"/>
      <w:lang w:val="en-US" w:eastAsia="zh-CN" w:bidi="ar-SA"/>
    </w:rPr>
  </w:style>
  <w:style w:type="character" w:styleId="1211" w:customStyle="1">
    <w:name w:val="chanpin1"/>
    <w:link w:val="926"/>
    <w:uiPriority w:val="0"/>
    <w:qFormat/>
    <w:rPr>
      <w:rFonts w:ascii="ˎ̥" w:hAnsi="ˎ̥"/>
      <w:color w:val="000000"/>
      <w:sz w:val="20"/>
      <w:szCs w:val="20"/>
      <w:u w:val="none"/>
    </w:rPr>
  </w:style>
  <w:style w:type="character" w:styleId="1212" w:customStyle="1">
    <w:name w:val="列出段落 字符"/>
    <w:link w:val="1213"/>
    <w:uiPriority w:val="34"/>
    <w:qFormat/>
    <w:rPr>
      <w:rFonts w:ascii="Calibri" w:hAnsi="Calibri" w:eastAsia="宋体"/>
      <w:sz w:val="21"/>
      <w:szCs w:val="22"/>
      <w:lang w:val="en-US" w:eastAsia="zh-CN" w:bidi="ar-SA"/>
    </w:rPr>
  </w:style>
  <w:style w:type="paragraph" w:styleId="1213" w:customStyle="1">
    <w:name w:val="列出段落"/>
    <w:basedOn w:val="926"/>
    <w:link w:val="1212"/>
    <w:uiPriority w:val="34"/>
    <w:qFormat/>
    <w:pPr>
      <w:ind w:firstLine="420"/>
    </w:pPr>
    <w:rPr>
      <w:rFonts w:ascii="Calibri" w:hAnsi="Calibri"/>
      <w:szCs w:val="22"/>
    </w:rPr>
  </w:style>
  <w:style w:type="character" w:styleId="1214" w:customStyle="1">
    <w:name w:val="标题 3 Char Char"/>
    <w:link w:val="926"/>
    <w:uiPriority w:val="0"/>
    <w:qFormat/>
    <w:rPr>
      <w:rFonts w:eastAsia="宋体"/>
      <w:b/>
      <w:bCs/>
      <w:sz w:val="32"/>
      <w:szCs w:val="32"/>
      <w:lang w:val="en-US" w:eastAsia="zh-CN" w:bidi="ar-SA"/>
    </w:rPr>
  </w:style>
  <w:style w:type="character" w:styleId="1215" w:customStyle="1">
    <w:name w:val="段1 Char"/>
    <w:link w:val="926"/>
    <w:uiPriority w:val="0"/>
    <w:qFormat/>
    <w:rPr>
      <w:rFonts w:ascii="宋体" w:eastAsia="宋体"/>
      <w:sz w:val="24"/>
      <w:lang w:val="en-US" w:eastAsia="zh-CN" w:bidi="ar-SA"/>
    </w:rPr>
  </w:style>
  <w:style w:type="character" w:styleId="1216" w:customStyle="1">
    <w:name w:val="chanpin拷贝"/>
    <w:link w:val="926"/>
    <w:uiPriority w:val="0"/>
    <w:qFormat/>
  </w:style>
  <w:style w:type="character" w:styleId="1217" w:customStyle="1">
    <w:name w:val="纯文本 Char1"/>
    <w:link w:val="926"/>
    <w:uiPriority w:val="0"/>
    <w:qFormat/>
    <w:rPr>
      <w:rFonts w:ascii="宋体" w:hAnsi="Courier New" w:eastAsia="宋体"/>
      <w:sz w:val="21"/>
      <w:lang w:val="en-US" w:eastAsia="zh-CN" w:bidi="ar-SA"/>
    </w:rPr>
  </w:style>
  <w:style w:type="character" w:styleId="1218" w:customStyle="1">
    <w:name w:val="apple-style-span"/>
    <w:link w:val="926"/>
    <w:uiPriority w:val="0"/>
    <w:qFormat/>
    <w:rPr>
      <w:rFonts w:cs="Times New Roman"/>
    </w:rPr>
  </w:style>
  <w:style w:type="paragraph" w:styleId="1219" w:customStyle="1">
    <w:name w:val="二级条标题"/>
    <w:basedOn w:val="1220"/>
    <w:next w:val="92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20" w:customStyle="1">
    <w:name w:val="一级条标题"/>
    <w:basedOn w:val="1221"/>
    <w:next w:val="926"/>
    <w:uiPriority w:val="0"/>
    <w:qFormat/>
    <w:pPr>
      <w:numPr>
        <w:ilvl w:val="1"/>
      </w:numPr>
      <w:ind w:left="0" w:hanging="840"/>
      <w:tabs>
        <w:tab w:val="left" w:pos="360" w:leader="none"/>
        <w:tab w:val="left" w:pos="840" w:leader="none"/>
      </w:tabs>
      <w:outlineLvl w:val="1"/>
    </w:pPr>
  </w:style>
  <w:style w:type="paragraph" w:styleId="1221" w:customStyle="1">
    <w:name w:val="章标题"/>
    <w:next w:val="92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22" w:customStyle="1">
    <w:name w:val="font7"/>
    <w:basedOn w:val="926"/>
    <w:uiPriority w:val="0"/>
    <w:qFormat/>
    <w:pPr>
      <w:jc w:val="left"/>
      <w:spacing w:before="100" w:beforeAutospacing="1" w:after="100" w:afterAutospacing="1"/>
      <w:widowControl/>
    </w:pPr>
    <w:rPr>
      <w:rFonts w:eastAsia="Arial Unicode MS"/>
      <w:b/>
      <w:bCs/>
      <w:color w:val="000000"/>
      <w:sz w:val="20"/>
      <w:szCs w:val="20"/>
    </w:rPr>
  </w:style>
  <w:style w:type="paragraph" w:styleId="1223" w:customStyle="1">
    <w:name w:val="字元 字元"/>
    <w:basedOn w:val="926"/>
    <w:uiPriority w:val="0"/>
    <w:qFormat/>
    <w:rPr>
      <w:rFonts w:ascii="Tahoma" w:hAnsi="Tahoma"/>
      <w:sz w:val="24"/>
      <w:szCs w:val="20"/>
    </w:rPr>
  </w:style>
  <w:style w:type="paragraph" w:styleId="1224" w:customStyle="1">
    <w:name w:val="Char3 Char Char Char"/>
    <w:basedOn w:val="926"/>
    <w:uiPriority w:val="0"/>
    <w:qFormat/>
    <w:rPr>
      <w:rFonts w:ascii="Tahoma" w:hAnsi="Tahoma"/>
      <w:sz w:val="24"/>
      <w:szCs w:val="20"/>
    </w:rPr>
  </w:style>
  <w:style w:type="paragraph" w:styleId="1225" w:customStyle="1">
    <w:name w:val="font6"/>
    <w:basedOn w:val="926"/>
    <w:uiPriority w:val="0"/>
    <w:qFormat/>
    <w:pPr>
      <w:jc w:val="left"/>
      <w:spacing w:before="100" w:beforeAutospacing="1" w:after="100" w:afterAutospacing="1"/>
      <w:widowControl/>
    </w:pPr>
    <w:rPr>
      <w:rFonts w:ascii="宋体" w:hAnsi="宋体" w:cs="宋体"/>
      <w:sz w:val="20"/>
      <w:szCs w:val="20"/>
    </w:rPr>
  </w:style>
  <w:style w:type="paragraph" w:styleId="1226" w:customStyle="1">
    <w:name w:val="项目编号2"/>
    <w:basedOn w:val="1227"/>
    <w:uiPriority w:val="0"/>
    <w:qFormat/>
    <w:pPr>
      <w:numPr>
        <w:numId w:val="2"/>
      </w:numPr>
    </w:pPr>
  </w:style>
  <w:style w:type="paragraph" w:styleId="1227" w:customStyle="1">
    <w:name w:val="项目编号1"/>
    <w:basedOn w:val="926"/>
    <w:uiPriority w:val="0"/>
    <w:qFormat/>
    <w:pPr>
      <w:numPr>
        <w:ilvl w:val="0"/>
        <w:numId w:val="3"/>
      </w:numPr>
      <w:spacing w:before="100" w:beforeAutospacing="1" w:after="100" w:afterAutospacing="1" w:line="360" w:lineRule="auto"/>
    </w:pPr>
    <w:rPr>
      <w:sz w:val="24"/>
    </w:rPr>
  </w:style>
  <w:style w:type="paragraph" w:styleId="1228" w:customStyle="1">
    <w:name w:val="图中文字"/>
    <w:basedOn w:val="926"/>
    <w:uiPriority w:val="0"/>
    <w:qFormat/>
    <w:pPr>
      <w:jc w:val="center"/>
      <w:spacing w:line="0" w:lineRule="atLeast"/>
    </w:pPr>
    <w:rPr>
      <w:sz w:val="24"/>
      <w:szCs w:val="20"/>
    </w:rPr>
  </w:style>
  <w:style w:type="paragraph" w:styleId="1229" w:customStyle="1">
    <w:name w:val="xl46"/>
    <w:basedOn w:val="9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0" w:customStyle="1">
    <w:name w:val="xl25"/>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Char2"/>
    <w:basedOn w:val="926"/>
    <w:uiPriority w:val="0"/>
    <w:qFormat/>
    <w:rPr>
      <w:rFonts w:ascii="Tahoma" w:hAnsi="Tahoma"/>
      <w:sz w:val="24"/>
      <w:szCs w:val="20"/>
    </w:rPr>
  </w:style>
  <w:style w:type="paragraph" w:styleId="1232" w:customStyle="1">
    <w:name w:val="xl35"/>
    <w:basedOn w:val="9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3" w:customStyle="1">
    <w:name w:val="xl40"/>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customStyle="1">
    <w:name w:val="xl52"/>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5" w:customStyle="1">
    <w:name w:val="xl43"/>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6" w:customStyle="1">
    <w:name w:val="background1"/>
    <w:basedOn w:val="926"/>
    <w:uiPriority w:val="0"/>
    <w:qFormat/>
    <w:pPr>
      <w:jc w:val="left"/>
      <w:spacing w:before="100" w:beforeAutospacing="1" w:after="100" w:afterAutospacing="1"/>
      <w:widowControl/>
    </w:pPr>
    <w:rPr>
      <w:rFonts w:ascii="宋体" w:hAnsi="宋体" w:cs="宋体"/>
      <w:sz w:val="24"/>
    </w:rPr>
  </w:style>
  <w:style w:type="paragraph" w:styleId="1237" w:customStyle="1">
    <w:name w:val="Char Char Char Char Char Char Char"/>
    <w:basedOn w:val="926"/>
    <w:uiPriority w:val="0"/>
    <w:qFormat/>
    <w:pPr>
      <w:ind w:firstLine="200"/>
      <w:spacing w:line="360" w:lineRule="auto"/>
    </w:pPr>
    <w:rPr>
      <w:rFonts w:eastAsia="仿宋_GB2312"/>
      <w:sz w:val="24"/>
    </w:rPr>
  </w:style>
  <w:style w:type="paragraph" w:styleId="1238" w:customStyle="1">
    <w:name w:val="xl38"/>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9" w:customStyle="1">
    <w:name w:val="xl36"/>
    <w:basedOn w:val="92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0" w:customStyle="1">
    <w:name w:val="正文 + 宋体"/>
    <w:basedOn w:val="926"/>
    <w:uiPriority w:val="0"/>
    <w:qFormat/>
    <w:pPr>
      <w:ind w:left="360" w:hanging="360"/>
      <w:jc w:val="left"/>
      <w:widowControl/>
    </w:pPr>
    <w:rPr>
      <w:rFonts w:ascii="宋体" w:hAnsi="宋体" w:cs="宋体"/>
      <w:b/>
      <w:bCs/>
      <w:color w:val="000000"/>
      <w:sz w:val="18"/>
      <w:szCs w:val="18"/>
    </w:rPr>
  </w:style>
  <w:style w:type="paragraph" w:styleId="1241" w:customStyle="1">
    <w:name w:val="正文列项_数字"/>
    <w:basedOn w:val="92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42" w:customStyle="1">
    <w:name w:val="xl39"/>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customStyle="1">
    <w:name w:val="xl37"/>
    <w:basedOn w:val="9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4" w:customStyle="1">
    <w:name w:val="xl32"/>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5" w:customStyle="1">
    <w:name w:val="font8"/>
    <w:basedOn w:val="926"/>
    <w:uiPriority w:val="0"/>
    <w:qFormat/>
    <w:pPr>
      <w:jc w:val="left"/>
      <w:spacing w:before="100" w:beforeAutospacing="1" w:after="100" w:afterAutospacing="1"/>
      <w:widowControl/>
    </w:pPr>
    <w:rPr>
      <w:sz w:val="36"/>
      <w:szCs w:val="36"/>
    </w:rPr>
  </w:style>
  <w:style w:type="paragraph" w:styleId="1246" w:customStyle="1">
    <w:name w:val="Char"/>
    <w:basedOn w:val="926"/>
    <w:uiPriority w:val="0"/>
    <w:qFormat/>
    <w:pPr>
      <w:tabs>
        <w:tab w:val="left" w:pos="360" w:leader="none"/>
      </w:tabs>
    </w:pPr>
    <w:rPr>
      <w:sz w:val="24"/>
    </w:rPr>
  </w:style>
  <w:style w:type="paragraph" w:styleId="1247" w:customStyle="1">
    <w:name w:val="Char Char Char Char Char Char Char Char Char Char Char Char Char Char Char Char"/>
    <w:basedOn w:val="926"/>
    <w:uiPriority w:val="0"/>
    <w:qFormat/>
    <w:pPr>
      <w:jc w:val="center"/>
      <w:spacing w:after="160" w:line="240" w:lineRule="exact"/>
      <w:widowControl/>
    </w:pPr>
    <w:rPr>
      <w:rFonts w:ascii="宋体" w:hAnsi="宋体"/>
      <w:b/>
      <w:sz w:val="30"/>
      <w:szCs w:val="30"/>
      <w:lang w:eastAsia="en-US"/>
    </w:rPr>
  </w:style>
  <w:style w:type="paragraph" w:styleId="1248" w:customStyle="1">
    <w:name w:val="xl45"/>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9" w:customStyle="1">
    <w:name w:val="Char Char1 Char Char Char Char Char Char"/>
    <w:basedOn w:val="926"/>
    <w:uiPriority w:val="0"/>
    <w:qFormat/>
    <w:pPr>
      <w:jc w:val="left"/>
      <w:spacing w:after="160" w:line="240" w:lineRule="exact"/>
      <w:widowControl/>
    </w:pPr>
    <w:rPr>
      <w:rFonts w:ascii="Verdana" w:hAnsi="Verdana" w:eastAsia="仿宋_GB2312"/>
      <w:sz w:val="24"/>
      <w:szCs w:val="20"/>
      <w:lang w:eastAsia="en-US"/>
    </w:rPr>
  </w:style>
  <w:style w:type="paragraph" w:styleId="1250" w:customStyle="1">
    <w:name w:val="Char Char1"/>
    <w:basedOn w:val="1134"/>
    <w:uiPriority w:val="0"/>
    <w:qFormat/>
    <w:rPr>
      <w:rFonts w:ascii="Tahoma" w:hAnsi="Tahoma"/>
      <w:sz w:val="24"/>
    </w:rPr>
  </w:style>
  <w:style w:type="paragraph" w:styleId="1251" w:customStyle="1">
    <w:name w:val="xl26"/>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2" w:customStyle="1">
    <w:name w:val="xl30"/>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customStyle="1">
    <w:name w:val="xl41"/>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4" w:customStyle="1">
    <w:name w:val="样式 宋体 五号 行距: 单倍行距"/>
    <w:basedOn w:val="926"/>
    <w:uiPriority w:val="0"/>
    <w:qFormat/>
    <w:pPr>
      <w:jc w:val="left"/>
    </w:pPr>
    <w:rPr>
      <w:rFonts w:ascii="宋体" w:hAnsi="宋体"/>
      <w:szCs w:val="20"/>
    </w:rPr>
  </w:style>
  <w:style w:type="paragraph" w:styleId="1255" w:customStyle="1">
    <w:name w:val="Char1 Char Char Char1"/>
    <w:basedOn w:val="926"/>
    <w:uiPriority w:val="0"/>
    <w:qFormat/>
    <w:rPr>
      <w:rFonts w:ascii="Tahoma" w:hAnsi="Tahoma" w:cs="仿宋_GB2312"/>
      <w:sz w:val="24"/>
      <w:szCs w:val="28"/>
    </w:rPr>
  </w:style>
  <w:style w:type="paragraph" w:styleId="1256" w:customStyle="1">
    <w:name w:val="四级条标题"/>
    <w:basedOn w:val="1257"/>
    <w:next w:val="926"/>
    <w:uiPriority w:val="0"/>
    <w:qFormat/>
    <w:pPr>
      <w:numPr>
        <w:ilvl w:val="4"/>
      </w:numPr>
      <w:ind w:left="0" w:hanging="840"/>
      <w:tabs>
        <w:tab w:val="left" w:pos="360" w:leader="none"/>
        <w:tab w:val="left" w:pos="840" w:leader="none"/>
      </w:tabs>
      <w:outlineLvl w:val="4"/>
    </w:pPr>
  </w:style>
  <w:style w:type="paragraph" w:styleId="1257" w:customStyle="1">
    <w:name w:val="三级条标题"/>
    <w:basedOn w:val="1219"/>
    <w:next w:val="926"/>
    <w:uiPriority w:val="0"/>
    <w:qFormat/>
    <w:pPr>
      <w:numPr>
        <w:ilvl w:val="3"/>
        <w:numId w:val="1"/>
      </w:numPr>
      <w:ind w:left="0" w:hanging="840"/>
      <w:outlineLvl w:val="3"/>
    </w:pPr>
  </w:style>
  <w:style w:type="paragraph" w:styleId="125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59" w:customStyle="1">
    <w:name w:val="样式 标题 2 + 宋体 五号 行距: 单倍行距"/>
    <w:basedOn w:val="1111"/>
    <w:uiPriority w:val="0"/>
    <w:qFormat/>
    <w:pPr>
      <w:numPr>
        <w:ilvl w:val="1"/>
        <w:numId w:val="4"/>
      </w:numPr>
      <w:jc w:val="left"/>
      <w:spacing w:before="260" w:after="260" w:line="240" w:lineRule="auto"/>
    </w:pPr>
    <w:rPr>
      <w:rFonts w:ascii="宋体" w:hAnsi="宋体" w:eastAsia="宋体"/>
      <w:bCs/>
      <w:sz w:val="21"/>
    </w:rPr>
  </w:style>
  <w:style w:type="paragraph" w:styleId="1260" w:customStyle="1">
    <w:name w:val="List Paragraph1"/>
    <w:basedOn w:val="926"/>
    <w:uiPriority w:val="0"/>
    <w:qFormat/>
    <w:pPr>
      <w:ind w:firstLine="420"/>
    </w:pPr>
    <w:rPr>
      <w:rFonts w:ascii="Calibri" w:hAnsi="Calibri"/>
      <w:szCs w:val="22"/>
    </w:rPr>
  </w:style>
  <w:style w:type="paragraph" w:styleId="1261" w:customStyle="1">
    <w:name w:val="项目符号1"/>
    <w:basedOn w:val="1262"/>
    <w:uiPriority w:val="0"/>
    <w:qFormat/>
    <w:pPr>
      <w:ind w:left="-25" w:firstLine="0"/>
    </w:pPr>
  </w:style>
  <w:style w:type="paragraph" w:styleId="1262" w:customStyle="1">
    <w:name w:val="正文文本样式"/>
    <w:basedOn w:val="926"/>
    <w:uiPriority w:val="0"/>
    <w:qFormat/>
    <w:pPr>
      <w:ind w:firstLine="482"/>
      <w:spacing w:line="360" w:lineRule="auto"/>
    </w:pPr>
    <w:rPr>
      <w:rFonts w:cs="宋体"/>
      <w:sz w:val="24"/>
      <w:szCs w:val="20"/>
    </w:rPr>
  </w:style>
  <w:style w:type="paragraph" w:styleId="1263" w:customStyle="1">
    <w:name w:val="xl27"/>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4" w:customStyle="1">
    <w:name w:val="font5"/>
    <w:basedOn w:val="926"/>
    <w:uiPriority w:val="0"/>
    <w:qFormat/>
    <w:pPr>
      <w:jc w:val="left"/>
      <w:spacing w:before="100" w:beforeAutospacing="1" w:after="100" w:afterAutospacing="1"/>
      <w:widowControl/>
    </w:pPr>
    <w:rPr>
      <w:rFonts w:ascii="宋体" w:hAnsi="宋体" w:cs="宋体"/>
      <w:sz w:val="18"/>
      <w:szCs w:val="18"/>
    </w:rPr>
  </w:style>
  <w:style w:type="paragraph" w:styleId="1265" w:customStyle="1">
    <w:name w:val="五级条标题"/>
    <w:basedOn w:val="1256"/>
    <w:next w:val="926"/>
    <w:uiPriority w:val="0"/>
    <w:qFormat/>
    <w:pPr>
      <w:numPr>
        <w:ilvl w:val="5"/>
      </w:numPr>
      <w:ind w:left="0" w:hanging="840"/>
      <w:outlineLvl w:val="5"/>
    </w:pPr>
  </w:style>
  <w:style w:type="paragraph" w:styleId="1266" w:customStyle="1">
    <w:name w:val="xl49"/>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7" w:customStyle="1">
    <w:name w:val="文档正文"/>
    <w:basedOn w:val="926"/>
    <w:uiPriority w:val="0"/>
    <w:qFormat/>
    <w:pPr>
      <w:spacing w:before="120" w:after="120" w:line="180" w:lineRule="auto"/>
    </w:pPr>
    <w:rPr>
      <w:rFonts w:ascii="Arial" w:hAnsi="Arial"/>
      <w:szCs w:val="20"/>
    </w:rPr>
  </w:style>
  <w:style w:type="paragraph" w:styleId="1268" w:customStyle="1">
    <w:name w:val="xl33"/>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9" w:customStyle="1">
    <w:name w:val="xl42"/>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0" w:customStyle="1">
    <w:name w:val="Char Char Char1 Char"/>
    <w:basedOn w:val="926"/>
    <w:uiPriority w:val="0"/>
    <w:qFormat/>
    <w:rPr>
      <w:rFonts w:ascii="Tahoma" w:hAnsi="Tahoma"/>
      <w:sz w:val="24"/>
      <w:szCs w:val="20"/>
    </w:rPr>
  </w:style>
  <w:style w:type="paragraph" w:styleId="1271" w:customStyle="1">
    <w:name w:val="xl44"/>
    <w:basedOn w:val="9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2" w:customStyle="1">
    <w:name w:val="1名"/>
    <w:basedOn w:val="926"/>
    <w:uiPriority w:val="0"/>
    <w:qFormat/>
    <w:pPr>
      <w:numPr>
        <w:ilvl w:val="0"/>
        <w:numId w:val="5"/>
      </w:numPr>
      <w:spacing w:before="120"/>
    </w:pPr>
    <w:rPr>
      <w:rFonts w:ascii="宋体"/>
      <w:sz w:val="28"/>
      <w:szCs w:val="20"/>
    </w:rPr>
  </w:style>
  <w:style w:type="paragraph" w:styleId="1273" w:customStyle="1">
    <w:name w:val="font9"/>
    <w:basedOn w:val="92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4" w:customStyle="1">
    <w:name w:val="Char Char Char1 Char1"/>
    <w:basedOn w:val="926"/>
    <w:uiPriority w:val="0"/>
    <w:qFormat/>
    <w:rPr>
      <w:rFonts w:ascii="Tahoma" w:hAnsi="Tahoma"/>
      <w:sz w:val="24"/>
      <w:szCs w:val="20"/>
    </w:rPr>
  </w:style>
  <w:style w:type="paragraph" w:styleId="1275" w:customStyle="1">
    <w:name w:val="Char Char Char Char Char Char Char Char Char Char"/>
    <w:basedOn w:val="926"/>
    <w:uiPriority w:val="0"/>
    <w:qFormat/>
  </w:style>
  <w:style w:type="paragraph" w:styleId="1276" w:customStyle="1">
    <w:name w:val="Char Char1 Char Char Char Char Char Char Char Char"/>
    <w:basedOn w:val="926"/>
    <w:uiPriority w:val="0"/>
    <w:qFormat/>
    <w:pPr>
      <w:jc w:val="left"/>
      <w:spacing w:after="160" w:line="240" w:lineRule="exact"/>
      <w:widowControl/>
    </w:pPr>
    <w:rPr>
      <w:rFonts w:ascii="Verdana" w:hAnsi="Verdana"/>
      <w:sz w:val="20"/>
      <w:szCs w:val="20"/>
      <w:lang w:eastAsia="en-US"/>
    </w:rPr>
  </w:style>
  <w:style w:type="paragraph" w:styleId="1277" w:customStyle="1">
    <w:name w:val="Char1"/>
    <w:basedOn w:val="926"/>
    <w:uiPriority w:val="0"/>
    <w:qFormat/>
    <w:pPr>
      <w:tabs>
        <w:tab w:val="left" w:pos="360" w:leader="none"/>
      </w:tabs>
    </w:pPr>
    <w:rPr>
      <w:sz w:val="24"/>
    </w:rPr>
  </w:style>
  <w:style w:type="paragraph" w:styleId="1278" w:customStyle="1">
    <w:name w:val="正文列项_字母"/>
    <w:basedOn w:val="92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9" w:customStyle="1">
    <w:name w:val="xl28"/>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customStyle="1">
    <w:name w:val="xl47"/>
    <w:basedOn w:val="9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customStyle="1">
    <w:name w:val="默认段落字体 Para Char Char Char Char"/>
    <w:basedOn w:val="926"/>
    <w:uiPriority w:val="0"/>
    <w:qFormat/>
    <w:rPr>
      <w:rFonts w:ascii="Arial" w:hAnsi="Arial" w:cs="Arial"/>
      <w:szCs w:val="21"/>
    </w:rPr>
  </w:style>
  <w:style w:type="paragraph" w:styleId="1282" w:customStyle="1">
    <w:name w:val="xl48"/>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3" w:customStyle="1">
    <w:name w:val="xl31"/>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4" w:customStyle="1">
    <w:name w:val="xl53"/>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customStyle="1">
    <w:name w:val="Char Char Char"/>
    <w:basedOn w:val="926"/>
    <w:uiPriority w:val="0"/>
    <w:qFormat/>
    <w:rPr>
      <w:rFonts w:ascii="Tahoma" w:hAnsi="Tahoma"/>
      <w:sz w:val="24"/>
      <w:szCs w:val="20"/>
    </w:rPr>
  </w:style>
  <w:style w:type="paragraph" w:styleId="1286" w:customStyle="1">
    <w:name w:val="xl50"/>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7" w:customStyle="1">
    <w:name w:val="缺省文本"/>
    <w:basedOn w:val="926"/>
    <w:uiPriority w:val="0"/>
    <w:qFormat/>
    <w:pPr>
      <w:jc w:val="left"/>
    </w:pPr>
    <w:rPr>
      <w:sz w:val="24"/>
    </w:rPr>
  </w:style>
  <w:style w:type="paragraph" w:styleId="1288" w:customStyle="1">
    <w:name w:val="Char Char Char1"/>
    <w:basedOn w:val="926"/>
    <w:uiPriority w:val="0"/>
    <w:qFormat/>
    <w:rPr>
      <w:rFonts w:ascii="Tahoma" w:hAnsi="Tahoma"/>
      <w:sz w:val="24"/>
      <w:szCs w:val="20"/>
    </w:rPr>
  </w:style>
  <w:style w:type="paragraph" w:styleId="1289" w:customStyle="1">
    <w:name w:val="Char Char Char Char Char Char Char1"/>
    <w:basedOn w:val="926"/>
    <w:uiPriority w:val="0"/>
    <w:qFormat/>
    <w:pPr>
      <w:ind w:firstLine="200"/>
      <w:spacing w:line="360" w:lineRule="auto"/>
    </w:pPr>
    <w:rPr>
      <w:rFonts w:eastAsia="仿宋_GB2312"/>
      <w:sz w:val="24"/>
    </w:rPr>
  </w:style>
  <w:style w:type="paragraph" w:styleId="1290" w:customStyle="1">
    <w:name w:val="xl51"/>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customStyle="1">
    <w:name w:val="样式2"/>
    <w:basedOn w:val="1172"/>
    <w:uiPriority w:val="0"/>
    <w:qFormat/>
    <w:pPr>
      <w:jc w:val="center"/>
      <w:spacing w:line="360" w:lineRule="auto"/>
    </w:pPr>
    <w:rPr>
      <w:sz w:val="24"/>
    </w:rPr>
  </w:style>
  <w:style w:type="paragraph" w:styleId="1292" w:customStyle="1">
    <w:name w:val="xl24"/>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3" w:customStyle="1">
    <w:name w:val="xl29"/>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4" w:customStyle="1">
    <w:name w:val="正文 + 楷体_GB2312"/>
    <w:basedOn w:val="926"/>
    <w:uiPriority w:val="0"/>
    <w:qFormat/>
    <w:pPr>
      <w:jc w:val="left"/>
      <w:widowControl/>
    </w:pPr>
    <w:rPr>
      <w:rFonts w:ascii="楷体_GB2312" w:eastAsia="楷体_GB2312" w:cs="Arial"/>
      <w:sz w:val="24"/>
    </w:rPr>
  </w:style>
  <w:style w:type="paragraph" w:styleId="1295" w:customStyle="1">
    <w:name w:val="xl34"/>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6" w:customStyle="1">
    <w:name w:val="1 Char Char Char Char"/>
    <w:basedOn w:val="926"/>
    <w:uiPriority w:val="0"/>
    <w:qFormat/>
    <w:rPr>
      <w:rFonts w:ascii="Tahoma" w:hAnsi="Tahoma"/>
      <w:sz w:val="24"/>
      <w:szCs w:val="20"/>
    </w:rPr>
  </w:style>
  <w:style w:type="paragraph" w:styleId="1297" w:customStyle="1">
    <w:name w:val="列出段落1"/>
    <w:basedOn w:val="926"/>
    <w:uiPriority w:val="0"/>
    <w:qFormat/>
    <w:pPr>
      <w:ind w:firstLine="420"/>
    </w:pPr>
    <w:rPr>
      <w:rFonts w:ascii="Calibri" w:hAnsi="Calibri"/>
      <w:szCs w:val="22"/>
    </w:rPr>
  </w:style>
  <w:style w:type="paragraph" w:styleId="1298" w:customStyle="1">
    <w:name w:val="default"/>
    <w:basedOn w:val="926"/>
    <w:uiPriority w:val="0"/>
    <w:qFormat/>
    <w:pPr>
      <w:jc w:val="left"/>
      <w:spacing w:before="100" w:beforeAutospacing="1" w:after="100" w:afterAutospacing="1"/>
      <w:widowControl/>
    </w:pPr>
    <w:rPr>
      <w:rFonts w:ascii="宋体" w:hAnsi="宋体" w:cs="宋体"/>
      <w:sz w:val="24"/>
    </w:rPr>
  </w:style>
  <w:style w:type="paragraph" w:styleId="1299" w:customStyle="1">
    <w:name w:val="字元 字元1"/>
    <w:basedOn w:val="926"/>
    <w:uiPriority w:val="0"/>
    <w:qFormat/>
    <w:rPr>
      <w:rFonts w:ascii="Tahoma" w:hAnsi="Tahoma"/>
      <w:sz w:val="24"/>
      <w:szCs w:val="20"/>
    </w:rPr>
  </w:style>
  <w:style w:type="paragraph" w:styleId="1300" w:customStyle="1">
    <w:name w:val="_Style 160"/>
    <w:uiPriority w:val="0"/>
    <w:qFormat/>
    <w:rPr>
      <w:rFonts w:hint="default" w:ascii="Times New Roman" w:hAnsi="Times New Roman" w:eastAsia="宋体" w:cs="Times New Roman"/>
      <w:sz w:val="21"/>
      <w:szCs w:val="24"/>
      <w:lang w:val="en-US" w:eastAsia="zh-CN" w:bidi="ar-SA"/>
    </w:rPr>
  </w:style>
  <w:style w:type="paragraph" w:styleId="1301" w:customStyle="1">
    <w:name w:val="项目编号3"/>
    <w:basedOn w:val="1262"/>
    <w:uiPriority w:val="0"/>
    <w:qFormat/>
    <w:pPr>
      <w:numPr>
        <w:ilvl w:val="0"/>
        <w:numId w:val="6"/>
      </w:numPr>
    </w:pPr>
  </w:style>
  <w:style w:type="paragraph" w:styleId="1302" w:customStyle="1">
    <w:name w:val="Char21"/>
    <w:basedOn w:val="926"/>
    <w:uiPriority w:val="0"/>
    <w:qFormat/>
    <w:rPr>
      <w:rFonts w:ascii="Tahoma" w:hAnsi="Tahoma"/>
      <w:sz w:val="24"/>
      <w:szCs w:val="20"/>
    </w:rPr>
  </w:style>
  <w:style w:type="paragraph" w:styleId="1303" w:customStyle="1">
    <w:name w:val="表格文字"/>
    <w:basedOn w:val="1142"/>
    <w:uiPriority w:val="0"/>
    <w:qFormat/>
    <w:pPr>
      <w:ind w:firstLine="0"/>
      <w:spacing w:before="20" w:after="20" w:line="240" w:lineRule="auto"/>
    </w:pPr>
    <w:rPr>
      <w:rFonts w:ascii="Century Gothic" w:hAnsi="Century Gothic"/>
      <w:sz w:val="20"/>
      <w:szCs w:val="20"/>
    </w:rPr>
  </w:style>
  <w:style w:type="paragraph" w:styleId="1304" w:customStyle="1">
    <w:name w:val="Char Char Char Char Char Char Char Char Char Char1"/>
    <w:basedOn w:val="926"/>
    <w:uiPriority w:val="0"/>
    <w:qFormat/>
    <w:rPr>
      <w:rFonts w:ascii="宋体" w:hAnsi="宋体" w:cs="Courier New"/>
      <w:sz w:val="32"/>
      <w:szCs w:val="32"/>
    </w:rPr>
  </w:style>
  <w:style w:type="paragraph" w:styleId="1305" w:customStyle="1">
    <w:name w:val="正文文本样式 加粗"/>
    <w:basedOn w:val="1262"/>
    <w:uiPriority w:val="0"/>
    <w:qFormat/>
    <w:rPr>
      <w:b/>
    </w:rPr>
  </w:style>
  <w:style w:type="paragraph" w:styleId="1306" w:customStyle="1">
    <w:name w:val="Char2 Char Char Char Char Char Char"/>
    <w:basedOn w:val="926"/>
    <w:uiPriority w:val="0"/>
    <w:qFormat/>
    <w:pPr>
      <w:jc w:val="center"/>
      <w:spacing w:line="400" w:lineRule="exact"/>
      <w:widowControl/>
    </w:pPr>
  </w:style>
  <w:style w:type="paragraph" w:styleId="1307" w:customStyle="1">
    <w:name w:val="Char Char4"/>
    <w:basedOn w:val="926"/>
    <w:uiPriority w:val="0"/>
    <w:qFormat/>
    <w:pPr>
      <w:jc w:val="center"/>
      <w:spacing w:line="400" w:lineRule="exact"/>
      <w:widowControl/>
    </w:pPr>
  </w:style>
  <w:style w:type="paragraph" w:styleId="1308" w:customStyle="1">
    <w:name w:val="Char3 Char Char Char1"/>
    <w:basedOn w:val="926"/>
    <w:uiPriority w:val="0"/>
    <w:qFormat/>
    <w:rPr>
      <w:rFonts w:ascii="Tahoma" w:hAnsi="Tahoma"/>
      <w:sz w:val="24"/>
      <w:szCs w:val="20"/>
    </w:rPr>
  </w:style>
  <w:style w:type="paragraph" w:styleId="130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22222222222222"/>
    <w:basedOn w:val="926"/>
    <w:uiPriority w:val="0"/>
    <w:qFormat/>
    <w:pPr>
      <w:ind w:firstLine="480"/>
      <w:jc w:val="left"/>
      <w:spacing w:line="360" w:lineRule="auto"/>
      <w:widowControl/>
    </w:pPr>
    <w:rPr>
      <w:color w:val="ff0000"/>
      <w:sz w:val="24"/>
      <w:szCs w:val="20"/>
    </w:rPr>
  </w:style>
  <w:style w:type="character" w:styleId="1311" w:customStyle="1">
    <w:name w:val="中等深浅网格 1 - 强调文字颜色 2 Char"/>
    <w:link w:val="1312"/>
    <w:uiPriority w:val="0"/>
    <w:qFormat/>
    <w:rPr>
      <w:sz w:val="21"/>
      <w:szCs w:val="24"/>
      <w:lang w:val="zh-CN" w:eastAsia="zh-CN" w:bidi="ar-SA"/>
    </w:rPr>
  </w:style>
  <w:style w:type="paragraph" w:styleId="1312" w:customStyle="1">
    <w:name w:val="1"/>
    <w:link w:val="1311"/>
    <w:uiPriority w:val="0"/>
    <w:qFormat/>
    <w:rPr>
      <w:rFonts w:hint="default" w:ascii="Times New Roman" w:hAnsi="Times New Roman" w:eastAsia="宋体" w:cs="Times New Roman"/>
      <w:sz w:val="21"/>
      <w:szCs w:val="24"/>
      <w:lang w:val="zh-CN" w:eastAsia="zh-CN" w:bidi="ar-SA"/>
    </w:rPr>
  </w:style>
  <w:style w:type="paragraph" w:styleId="1313" w:customStyle="1">
    <w:name w:val="图文"/>
    <w:basedOn w:val="926"/>
    <w:uiPriority w:val="0"/>
    <w:qFormat/>
    <w:pPr>
      <w:spacing w:after="50" w:line="360" w:lineRule="auto"/>
    </w:pPr>
    <w:rPr>
      <w:sz w:val="24"/>
    </w:rPr>
  </w:style>
  <w:style w:type="paragraph" w:styleId="1314" w:customStyle="1">
    <w:name w:val="xl23"/>
    <w:basedOn w:val="926"/>
    <w:uiPriority w:val="0"/>
    <w:qFormat/>
    <w:pPr>
      <w:spacing w:before="100" w:beforeAutospacing="1" w:after="100" w:afterAutospacing="1" w:line="360" w:lineRule="auto"/>
      <w:widowControl/>
    </w:pPr>
    <w:rPr>
      <w:sz w:val="24"/>
      <w:szCs w:val="20"/>
    </w:rPr>
  </w:style>
  <w:style w:type="paragraph" w:styleId="1315" w:customStyle="1">
    <w:name w:val="正文表格"/>
    <w:basedOn w:val="926"/>
    <w:link w:val="1316"/>
    <w:uiPriority w:val="0"/>
    <w:qFormat/>
    <w:pPr>
      <w:jc w:val="left"/>
    </w:pPr>
    <w:rPr>
      <w:rFonts w:ascii="宋体" w:hAnsi="宋体"/>
      <w:color w:val="000000"/>
      <w:szCs w:val="21"/>
    </w:rPr>
  </w:style>
  <w:style w:type="character" w:styleId="1316" w:customStyle="1">
    <w:name w:val="正文表格 Char"/>
    <w:link w:val="1315"/>
    <w:uiPriority w:val="0"/>
    <w:qFormat/>
    <w:rPr>
      <w:rFonts w:ascii="宋体" w:hAnsi="宋体"/>
      <w:color w:val="000000"/>
      <w:sz w:val="21"/>
      <w:szCs w:val="21"/>
    </w:rPr>
  </w:style>
  <w:style w:type="paragraph" w:styleId="1317" w:customStyle="1">
    <w:name w:val="正文重点"/>
    <w:basedOn w:val="926"/>
    <w:link w:val="1318"/>
    <w:uiPriority w:val="0"/>
    <w:qFormat/>
    <w:pPr>
      <w:ind w:firstLine="482"/>
      <w:jc w:val="left"/>
      <w:spacing w:line="360" w:lineRule="auto"/>
    </w:pPr>
    <w:rPr>
      <w:b/>
      <w:sz w:val="24"/>
      <w:szCs w:val="20"/>
    </w:rPr>
  </w:style>
  <w:style w:type="character" w:styleId="1318" w:customStyle="1">
    <w:name w:val="正文重点 Char"/>
    <w:link w:val="1317"/>
    <w:uiPriority w:val="0"/>
    <w:qFormat/>
    <w:rPr>
      <w:b/>
      <w:sz w:val="24"/>
    </w:rPr>
  </w:style>
  <w:style w:type="paragraph" w:styleId="1319" w:customStyle="1">
    <w:name w:val="标题1-附件"/>
    <w:basedOn w:val="1110"/>
    <w:uiPriority w:val="0"/>
    <w:qFormat/>
    <w:pPr>
      <w:jc w:val="left"/>
    </w:pPr>
    <w:rPr>
      <w:sz w:val="24"/>
      <w:szCs w:val="24"/>
    </w:rPr>
  </w:style>
  <w:style w:type="paragraph" w:styleId="1320" w:customStyle="1">
    <w:name w:val="正文小标题"/>
    <w:basedOn w:val="926"/>
    <w:next w:val="1112"/>
    <w:link w:val="1321"/>
    <w:uiPriority w:val="0"/>
    <w:qFormat/>
    <w:pPr>
      <w:ind w:firstLine="482"/>
      <w:jc w:val="left"/>
      <w:spacing w:before="312" w:after="312"/>
    </w:pPr>
    <w:rPr>
      <w:rFonts w:ascii="宋体" w:hAnsi="宋体"/>
      <w:b/>
      <w:i/>
      <w:color w:val="ff0000"/>
      <w:sz w:val="24"/>
      <w:szCs w:val="20"/>
    </w:rPr>
  </w:style>
  <w:style w:type="character" w:styleId="1321" w:customStyle="1">
    <w:name w:val="正文小标题 Char"/>
    <w:link w:val="1320"/>
    <w:uiPriority w:val="0"/>
    <w:qFormat/>
    <w:rPr>
      <w:rFonts w:ascii="宋体" w:hAnsi="宋体"/>
      <w:b/>
      <w:i/>
      <w:color w:val="ff0000"/>
      <w:sz w:val="24"/>
    </w:rPr>
  </w:style>
  <w:style w:type="paragraph" w:styleId="1322" w:customStyle="1">
    <w:name w:val="正文大标题"/>
    <w:basedOn w:val="1320"/>
    <w:next w:val="1112"/>
    <w:link w:val="1323"/>
    <w:uiPriority w:val="0"/>
    <w:qFormat/>
    <w:pPr>
      <w:jc w:val="center"/>
    </w:pPr>
    <w:rPr>
      <w:i w:val="0"/>
      <w:color w:val="000000"/>
      <w:sz w:val="28"/>
      <w:szCs w:val="21"/>
    </w:rPr>
  </w:style>
  <w:style w:type="character" w:styleId="1323" w:customStyle="1">
    <w:name w:val="正文大标题 Char"/>
    <w:link w:val="1322"/>
    <w:uiPriority w:val="0"/>
    <w:qFormat/>
    <w:rPr>
      <w:rFonts w:ascii="宋体" w:hAnsi="宋体"/>
      <w:b/>
      <w:color w:val="000000"/>
      <w:sz w:val="28"/>
      <w:szCs w:val="21"/>
    </w:rPr>
  </w:style>
  <w:style w:type="paragraph" w:styleId="1324" w:customStyle="1">
    <w:name w:val="注释"/>
    <w:basedOn w:val="926"/>
    <w:link w:val="1325"/>
    <w:uiPriority w:val="0"/>
    <w:qFormat/>
    <w:pPr>
      <w:ind w:left="420" w:hanging="420"/>
      <w:jc w:val="left"/>
    </w:pPr>
    <w:rPr>
      <w:rFonts w:ascii="宋体" w:hAnsi="宋体"/>
      <w:szCs w:val="21"/>
    </w:rPr>
  </w:style>
  <w:style w:type="character" w:styleId="1325" w:customStyle="1">
    <w:name w:val="注释 Char"/>
    <w:link w:val="1324"/>
    <w:uiPriority w:val="0"/>
    <w:qFormat/>
    <w:rPr>
      <w:rFonts w:ascii="宋体" w:hAnsi="宋体"/>
      <w:sz w:val="21"/>
      <w:szCs w:val="21"/>
    </w:rPr>
  </w:style>
  <w:style w:type="paragraph" w:styleId="1326" w:customStyle="1">
    <w:name w:val="正文须知-1级"/>
    <w:basedOn w:val="926"/>
    <w:next w:val="926"/>
    <w:uiPriority w:val="0"/>
    <w:qFormat/>
    <w:pPr>
      <w:numPr>
        <w:ilvl w:val="0"/>
        <w:numId w:val="7"/>
      </w:numPr>
      <w:spacing w:line="300" w:lineRule="auto"/>
    </w:pPr>
    <w:rPr>
      <w:rFonts w:ascii="宋体" w:hAnsi="Calibri"/>
      <w:sz w:val="24"/>
      <w:szCs w:val="21"/>
    </w:rPr>
  </w:style>
  <w:style w:type="paragraph" w:styleId="1327" w:customStyle="1">
    <w:name w:val="正文须知-2级"/>
    <w:basedOn w:val="926"/>
    <w:uiPriority w:val="0"/>
    <w:qFormat/>
    <w:pPr>
      <w:numPr>
        <w:ilvl w:val="1"/>
        <w:numId w:val="7"/>
      </w:numPr>
      <w:spacing w:line="300" w:lineRule="auto"/>
    </w:pPr>
    <w:rPr>
      <w:rFonts w:ascii="宋体" w:hAnsi="Calibri"/>
      <w:sz w:val="24"/>
      <w:szCs w:val="21"/>
    </w:rPr>
  </w:style>
  <w:style w:type="paragraph" w:styleId="1328" w:customStyle="1">
    <w:name w:val="正文须知-3级"/>
    <w:basedOn w:val="926"/>
    <w:uiPriority w:val="0"/>
    <w:qFormat/>
    <w:pPr>
      <w:numPr>
        <w:ilvl w:val="2"/>
        <w:numId w:val="7"/>
      </w:numPr>
      <w:ind w:hanging="355"/>
      <w:spacing w:line="300" w:lineRule="auto"/>
    </w:pPr>
    <w:rPr>
      <w:rFonts w:ascii="宋体" w:hAnsi="Calibri"/>
      <w:sz w:val="24"/>
      <w:szCs w:val="21"/>
    </w:rPr>
  </w:style>
  <w:style w:type="character" w:styleId="1329" w:customStyle="1">
    <w:name w:val="纯文本 字符"/>
    <w:link w:val="926"/>
    <w:uiPriority w:val="99"/>
    <w:qFormat/>
    <w:rPr>
      <w:rFonts w:ascii="宋体" w:hAnsi="Courier New" w:eastAsia="宋体" w:cs="Times New Roman"/>
      <w:sz w:val="21"/>
      <w:szCs w:val="21"/>
      <w:lang w:val="en-US" w:eastAsia="zh-CN" w:bidi="ar-SA"/>
    </w:rPr>
  </w:style>
  <w:style w:type="paragraph" w:styleId="1330" w:customStyle="1">
    <w:name w:val="表格1"/>
    <w:basedOn w:val="926"/>
    <w:uiPriority w:val="0"/>
    <w:qFormat/>
    <w:pPr>
      <w:ind w:firstLine="480"/>
      <w:jc w:val="center"/>
    </w:pPr>
    <w:rPr>
      <w:sz w:val="24"/>
      <w:szCs w:val="20"/>
    </w:rPr>
  </w:style>
  <w:style w:type="character" w:styleId="1331" w:customStyle="1">
    <w:name w:val="纯文本 字符1"/>
    <w:link w:val="926"/>
    <w:uiPriority w:val="0"/>
    <w:qFormat/>
    <w:rPr>
      <w:rFonts w:ascii="宋体" w:hAnsi="Courier New"/>
    </w:rPr>
  </w:style>
  <w:style w:type="character" w:styleId="1332" w:customStyle="1">
    <w:name w:val="bjh-p"/>
    <w:link w:val="926"/>
    <w:uiPriority w:val="0"/>
    <w:qFormat/>
  </w:style>
  <w:style w:type="paragraph" w:styleId="1333" w:customStyle="1">
    <w:name w:val="无标题条"/>
    <w:next w:val="926"/>
    <w:uiPriority w:val="0"/>
    <w:qFormat/>
    <w:pPr>
      <w:jc w:val="both"/>
    </w:pPr>
    <w:rPr>
      <w:rFonts w:hint="default" w:ascii="Times New Roman" w:hAnsi="Times New Roman" w:eastAsia="宋体" w:cs="Times New Roman"/>
      <w:sz w:val="21"/>
      <w:lang w:val="en-US" w:eastAsia="zh-CN" w:bidi="ar-SA"/>
    </w:rPr>
  </w:style>
  <w:style w:type="character" w:styleId="1334" w:customStyle="1">
    <w:name w:val="正文格式 Char"/>
    <w:link w:val="1335"/>
    <w:uiPriority w:val="0"/>
    <w:qFormat/>
    <w:rPr>
      <w:rFonts w:ascii="宋体" w:hAnsi="宋体"/>
      <w:sz w:val="24"/>
      <w:szCs w:val="24"/>
      <w:lang w:val="en-GB"/>
    </w:rPr>
  </w:style>
  <w:style w:type="paragraph" w:styleId="1335" w:customStyle="1">
    <w:name w:val="正文格式"/>
    <w:basedOn w:val="926"/>
    <w:link w:val="1334"/>
    <w:uiPriority w:val="0"/>
    <w:qFormat/>
    <w:pPr>
      <w:ind w:firstLine="480"/>
      <w:spacing w:line="360" w:lineRule="auto"/>
    </w:pPr>
    <w:rPr>
      <w:rFonts w:ascii="宋体" w:hAnsi="宋体"/>
      <w:sz w:val="24"/>
      <w:lang w:val="en-GB"/>
    </w:rPr>
  </w:style>
  <w:style w:type="character" w:styleId="1336" w:customStyle="1">
    <w:name w:val="标题 3 Char"/>
    <w:link w:val="926"/>
    <w:uiPriority w:val="0"/>
    <w:qFormat/>
    <w:rPr>
      <w:rFonts w:ascii="宋体" w:eastAsia="宋体"/>
      <w:b/>
      <w:sz w:val="24"/>
      <w:u w:val="single"/>
      <w:lang w:val="en-US" w:eastAsia="zh-CN" w:bidi="ar-SA"/>
    </w:rPr>
  </w:style>
  <w:style w:type="character" w:styleId="1337" w:customStyle="1">
    <w:name w:val="Char Char111"/>
    <w:link w:val="926"/>
    <w:uiPriority w:val="0"/>
    <w:qFormat/>
    <w:rPr>
      <w:rFonts w:ascii="宋体" w:eastAsia="宋体"/>
      <w:b/>
      <w:sz w:val="24"/>
      <w:u w:val="single"/>
      <w:lang w:val="en-US" w:eastAsia="zh-CN" w:bidi="ar-SA"/>
    </w:rPr>
  </w:style>
  <w:style w:type="character" w:styleId="1338" w:customStyle="1">
    <w:name w:val="正文文本缩进 Char"/>
    <w:link w:val="926"/>
    <w:uiPriority w:val="0"/>
    <w:qFormat/>
    <w:rPr>
      <w:rFonts w:eastAsia="宋体"/>
      <w:sz w:val="24"/>
      <w:szCs w:val="24"/>
      <w:lang w:val="en-US" w:eastAsia="zh-CN" w:bidi="ar-SA"/>
    </w:rPr>
  </w:style>
  <w:style w:type="character" w:styleId="1339" w:customStyle="1">
    <w:name w:val="列出段落 Char"/>
    <w:link w:val="926"/>
    <w:uiPriority w:val="0"/>
    <w:qFormat/>
    <w:rPr>
      <w:rFonts w:ascii="Calibri" w:hAnsi="Calibri" w:eastAsia="宋体"/>
      <w:sz w:val="21"/>
      <w:szCs w:val="22"/>
      <w:lang w:val="en-US" w:eastAsia="zh-CN" w:bidi="ar-SA"/>
    </w:rPr>
  </w:style>
  <w:style w:type="character" w:styleId="1340" w:customStyle="1">
    <w:name w:val="页眉 Char"/>
    <w:link w:val="926"/>
    <w:uiPriority w:val="0"/>
    <w:qFormat/>
    <w:rPr>
      <w:rFonts w:eastAsia="宋体"/>
      <w:sz w:val="18"/>
      <w:szCs w:val="18"/>
      <w:lang w:val="en-US" w:eastAsia="zh-CN" w:bidi="ar-SA"/>
    </w:rPr>
  </w:style>
  <w:style w:type="character" w:styleId="1341" w:customStyle="1">
    <w:name w:val="标题 2 Char"/>
    <w:link w:val="926"/>
    <w:uiPriority w:val="0"/>
    <w:qFormat/>
    <w:rPr>
      <w:rFonts w:ascii="Arial" w:hAnsi="Arial" w:eastAsia="黑体"/>
      <w:b/>
      <w:sz w:val="30"/>
      <w:lang w:val="en-US" w:eastAsia="zh-CN" w:bidi="ar-SA"/>
    </w:rPr>
  </w:style>
  <w:style w:type="paragraph" w:styleId="1342" w:customStyle="1">
    <w:name w:val="字元 字元2"/>
    <w:basedOn w:val="926"/>
    <w:uiPriority w:val="0"/>
    <w:qFormat/>
    <w:rPr>
      <w:rFonts w:ascii="Tahoma" w:hAnsi="Tahoma"/>
      <w:sz w:val="24"/>
      <w:szCs w:val="20"/>
    </w:rPr>
  </w:style>
  <w:style w:type="paragraph" w:styleId="1343" w:customStyle="1">
    <w:name w:val="Char3 Char Char Char2"/>
    <w:basedOn w:val="926"/>
    <w:uiPriority w:val="0"/>
    <w:qFormat/>
    <w:rPr>
      <w:rFonts w:ascii="Tahoma" w:hAnsi="Tahoma"/>
      <w:sz w:val="24"/>
      <w:szCs w:val="20"/>
    </w:rPr>
  </w:style>
  <w:style w:type="paragraph" w:styleId="1344" w:customStyle="1">
    <w:name w:val="正文文本缩进2"/>
    <w:basedOn w:val="926"/>
    <w:uiPriority w:val="0"/>
    <w:qFormat/>
    <w:pPr>
      <w:ind w:firstLine="480"/>
      <w:spacing w:line="480" w:lineRule="exact"/>
    </w:pPr>
    <w:rPr>
      <w:rFonts w:ascii="宋体" w:hAnsi="宋体"/>
      <w:sz w:val="24"/>
      <w:lang w:val="zh-CN" w:eastAsia="zh-CN"/>
    </w:rPr>
  </w:style>
  <w:style w:type="paragraph" w:styleId="1345" w:customStyle="1">
    <w:name w:val="Char3"/>
    <w:basedOn w:val="926"/>
    <w:uiPriority w:val="0"/>
    <w:qFormat/>
    <w:pPr>
      <w:tabs>
        <w:tab w:val="left" w:pos="360" w:leader="none"/>
      </w:tabs>
    </w:pPr>
    <w:rPr>
      <w:sz w:val="24"/>
    </w:rPr>
  </w:style>
  <w:style w:type="paragraph" w:styleId="1346" w:customStyle="1">
    <w:name w:val="Char Char Char Char Char Char Char Char Char Char Char Char Char Char Char Char1"/>
    <w:basedOn w:val="926"/>
    <w:uiPriority w:val="0"/>
    <w:qFormat/>
    <w:pPr>
      <w:jc w:val="center"/>
      <w:spacing w:after="160" w:line="240" w:lineRule="exact"/>
      <w:widowControl/>
    </w:pPr>
    <w:rPr>
      <w:rFonts w:ascii="宋体" w:hAnsi="宋体"/>
      <w:b/>
      <w:sz w:val="30"/>
      <w:szCs w:val="30"/>
      <w:lang w:eastAsia="en-US"/>
    </w:rPr>
  </w:style>
  <w:style w:type="paragraph" w:styleId="1347" w:customStyle="1">
    <w:name w:val="Char Char1 Char Char Char Char Char Char1"/>
    <w:basedOn w:val="926"/>
    <w:uiPriority w:val="0"/>
    <w:qFormat/>
    <w:pPr>
      <w:jc w:val="left"/>
      <w:spacing w:after="160" w:line="240" w:lineRule="exact"/>
      <w:widowControl/>
    </w:pPr>
    <w:rPr>
      <w:rFonts w:ascii="Verdana" w:hAnsi="Verdana" w:eastAsia="仿宋_GB2312"/>
      <w:sz w:val="24"/>
      <w:szCs w:val="20"/>
      <w:lang w:eastAsia="en-US"/>
    </w:rPr>
  </w:style>
  <w:style w:type="paragraph" w:styleId="1348" w:customStyle="1">
    <w:name w:val="列出段落2"/>
    <w:basedOn w:val="926"/>
    <w:uiPriority w:val="0"/>
    <w:qFormat/>
    <w:pPr>
      <w:ind w:firstLine="420"/>
    </w:pPr>
    <w:rPr>
      <w:rFonts w:ascii="Calibri" w:hAnsi="Calibri"/>
      <w:szCs w:val="22"/>
    </w:rPr>
  </w:style>
  <w:style w:type="paragraph" w:styleId="1349" w:customStyle="1">
    <w:name w:val="Char Char Char1 Char2"/>
    <w:basedOn w:val="926"/>
    <w:uiPriority w:val="0"/>
    <w:qFormat/>
    <w:rPr>
      <w:rFonts w:ascii="Tahoma" w:hAnsi="Tahoma"/>
      <w:sz w:val="24"/>
      <w:szCs w:val="20"/>
    </w:rPr>
  </w:style>
  <w:style w:type="paragraph" w:styleId="1350" w:customStyle="1">
    <w:name w:val="Char Char Char2"/>
    <w:basedOn w:val="926"/>
    <w:uiPriority w:val="0"/>
    <w:qFormat/>
    <w:rPr>
      <w:rFonts w:ascii="Tahoma" w:hAnsi="Tahoma"/>
      <w:sz w:val="24"/>
      <w:szCs w:val="20"/>
    </w:rPr>
  </w:style>
  <w:style w:type="paragraph" w:styleId="1351" w:customStyle="1">
    <w:name w:val="Char Char Char Char Char Char Char2"/>
    <w:basedOn w:val="926"/>
    <w:uiPriority w:val="0"/>
    <w:qFormat/>
    <w:pPr>
      <w:ind w:firstLine="200"/>
      <w:spacing w:line="360" w:lineRule="auto"/>
    </w:pPr>
    <w:rPr>
      <w:rFonts w:eastAsia="仿宋_GB2312"/>
      <w:sz w:val="24"/>
    </w:rPr>
  </w:style>
  <w:style w:type="paragraph" w:styleId="1352" w:customStyle="1">
    <w:name w:val="正文缩进2"/>
    <w:basedOn w:val="926"/>
    <w:uiPriority w:val="0"/>
    <w:qFormat/>
    <w:pPr>
      <w:ind w:firstLine="567"/>
      <w:spacing w:line="480" w:lineRule="exact"/>
      <w:widowControl/>
    </w:pPr>
    <w:rPr>
      <w:rFonts w:ascii="宋体"/>
      <w:color w:val="000000"/>
      <w:sz w:val="28"/>
      <w:szCs w:val="20"/>
      <w:lang w:val="zh-CN" w:eastAsia="zh-CN"/>
    </w:rPr>
  </w:style>
  <w:style w:type="paragraph" w:styleId="1353" w:customStyle="1">
    <w:name w:val="Revision"/>
    <w:uiPriority w:val="0"/>
    <w:qFormat/>
    <w:rPr>
      <w:rFonts w:hint="default" w:ascii="Times New Roman" w:hAnsi="Times New Roman" w:eastAsia="宋体" w:cs="Times New Roman"/>
      <w:sz w:val="21"/>
      <w:szCs w:val="24"/>
      <w:lang w:val="en-US" w:eastAsia="zh-CN" w:bidi="ar-SA"/>
    </w:rPr>
  </w:style>
  <w:style w:type="paragraph" w:styleId="1354" w:customStyle="1">
    <w:name w:val="Char22"/>
    <w:basedOn w:val="926"/>
    <w:uiPriority w:val="0"/>
    <w:qFormat/>
    <w:rPr>
      <w:rFonts w:ascii="Tahoma" w:hAnsi="Tahoma"/>
      <w:sz w:val="24"/>
      <w:szCs w:val="20"/>
    </w:rPr>
  </w:style>
  <w:style w:type="paragraph" w:styleId="1355" w:customStyle="1">
    <w:name w:val="Char Char Char Char Char Char Char Char Char Char2"/>
    <w:basedOn w:val="926"/>
    <w:uiPriority w:val="0"/>
    <w:qFormat/>
    <w:rPr>
      <w:rFonts w:ascii="宋体" w:hAnsi="宋体" w:cs="Courier New"/>
      <w:sz w:val="32"/>
      <w:szCs w:val="32"/>
    </w:rPr>
  </w:style>
  <w:style w:type="paragraph" w:styleId="1356" w:customStyle="1">
    <w:name w:val="Char2 Char Char Char Char Char Char1"/>
    <w:basedOn w:val="926"/>
    <w:uiPriority w:val="0"/>
    <w:qFormat/>
    <w:pPr>
      <w:jc w:val="center"/>
      <w:spacing w:line="400" w:lineRule="exact"/>
      <w:widowControl/>
    </w:pPr>
  </w:style>
  <w:style w:type="character" w:styleId="1357" w:customStyle="1">
    <w:name w:val="页脚 Char"/>
    <w:link w:val="926"/>
    <w:uiPriority w:val="0"/>
    <w:qFormat/>
    <w:rPr>
      <w:rFonts w:ascii="宋体" w:eastAsia="宋体"/>
      <w:sz w:val="18"/>
      <w:lang w:val="en-US" w:eastAsia="zh-CN" w:bidi="ar-SA"/>
    </w:rPr>
  </w:style>
  <w:style w:type="paragraph" w:styleId="1358" w:customStyle="1">
    <w:name w:val="Char Char41"/>
    <w:basedOn w:val="926"/>
    <w:uiPriority w:val="0"/>
    <w:qFormat/>
    <w:pPr>
      <w:jc w:val="center"/>
      <w:spacing w:line="400" w:lineRule="exact"/>
      <w:widowControl/>
    </w:pPr>
  </w:style>
  <w:style w:type="character" w:styleId="1359" w:customStyle="1">
    <w:name w:val="批注文字 Char"/>
    <w:link w:val="926"/>
    <w:uiPriority w:val="99"/>
    <w:qFormat/>
    <w:rPr>
      <w:sz w:val="21"/>
      <w:szCs w:val="24"/>
    </w:rPr>
  </w:style>
  <w:style w:type="character" w:styleId="1360" w:customStyle="1">
    <w:name w:val="标题 Char"/>
    <w:link w:val="926"/>
    <w:uiPriority w:val="0"/>
    <w:qFormat/>
    <w:rPr>
      <w:b/>
      <w:sz w:val="32"/>
    </w:rPr>
  </w:style>
  <w:style w:type="paragraph" w:styleId="1361" w:customStyle="1">
    <w:name w:val="图例"/>
    <w:basedOn w:val="926"/>
    <w:uiPriority w:val="0"/>
    <w:qFormat/>
    <w:pPr>
      <w:jc w:val="center"/>
      <w:spacing w:before="120" w:after="120" w:line="360" w:lineRule="auto"/>
    </w:pPr>
    <w:rPr>
      <w:rFonts w:eastAsia="仿宋_GB2312"/>
      <w:b/>
      <w:sz w:val="24"/>
      <w:szCs w:val="20"/>
    </w:rPr>
  </w:style>
  <w:style w:type="table" w:styleId="1362" w:customStyle="1">
    <w:name w:val="Table Normal"/>
    <w:uiPriority w:val="2"/>
    <w:unhideWhenUsed/>
    <w:qFormat/>
    <w:pPr>
      <w:widowControl w:val="off"/>
    </w:pPr>
    <w:rPr>
      <w:rFonts w:ascii="Calibri" w:hAnsi="Calibri"/>
      <w:sz w:val="22"/>
      <w:szCs w:val="22"/>
      <w:lang w:val="en-US" w:eastAsia="en-US" w:bidi="ar-SA"/>
    </w:rPr>
    <w:tblPr/>
  </w:style>
  <w:style w:type="paragraph" w:styleId="1363" w:customStyle="1">
    <w:name w:val="Table Paragraph"/>
    <w:basedOn w:val="926"/>
    <w:uiPriority w:val="1"/>
    <w:qFormat/>
    <w:pPr>
      <w:jc w:val="left"/>
    </w:pPr>
    <w:rPr>
      <w:rFonts w:ascii="宋体" w:hAnsi="宋体" w:cs="宋体"/>
      <w:sz w:val="22"/>
      <w:szCs w:val="22"/>
      <w:lang w:eastAsia="en-US"/>
    </w:rPr>
  </w:style>
  <w:style w:type="paragraph" w:styleId="1364" w:customStyle="1">
    <w:name w:val="成文日期"/>
    <w:basedOn w:val="926"/>
    <w:link w:val="1365"/>
    <w:uiPriority w:val="0"/>
    <w:qFormat/>
    <w:pPr>
      <w:ind w:right="400" w:firstLine="200"/>
      <w:jc w:val="right"/>
      <w:spacing w:line="570" w:lineRule="exact"/>
    </w:pPr>
    <w:rPr>
      <w:rFonts w:ascii="仿宋_GB2312" w:eastAsia="仿宋_GB2312"/>
      <w:sz w:val="32"/>
      <w:szCs w:val="20"/>
    </w:rPr>
  </w:style>
  <w:style w:type="character" w:styleId="1365" w:customStyle="1">
    <w:name w:val="成文日期 Char"/>
    <w:link w:val="1364"/>
    <w:uiPriority w:val="0"/>
    <w:qFormat/>
    <w:rPr>
      <w:rFonts w:ascii="仿宋_GB2312" w:eastAsia="仿宋_GB2312"/>
      <w:sz w:val="32"/>
    </w:rPr>
  </w:style>
  <w:style w:type="paragraph" w:styleId="1366"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367" w:customStyle="1">
    <w:name w:val="15"/>
    <w:link w:val="926"/>
    <w:uiPriority w:val="0"/>
    <w:qFormat/>
    <w:rPr>
      <w:sz w:val="21"/>
      <w:szCs w:val="24"/>
      <w:lang w:val="en-US" w:eastAsia="zh-CN" w:bidi="ar-SA"/>
    </w:rPr>
  </w:style>
  <w:style w:type="paragraph" w:styleId="1368" w:customStyle="1">
    <w:name w:val="列表段落"/>
    <w:basedOn w:val="926"/>
    <w:uiPriority w:val="34"/>
    <w:qFormat/>
    <w:pPr>
      <w:contextualSpacing/>
      <w:ind w:left="720"/>
      <w:jc w:val="left"/>
      <w:widowControl/>
    </w:pPr>
    <w:rPr>
      <w:rFonts w:ascii="Calibri" w:hAnsi="Calibri"/>
      <w:sz w:val="24"/>
      <w:szCs w:val="24"/>
      <w:lang w:eastAsia="en-US" w:bidi="en-US"/>
    </w:rPr>
  </w:style>
  <w:style w:type="character" w:styleId="1369" w:customStyle="1">
    <w:name w:val="font01"/>
    <w:link w:val="926"/>
    <w:uiPriority w:val="0"/>
    <w:qFormat/>
    <w:rPr>
      <w:rFonts w:hint="eastAsia" w:ascii="宋体" w:hAnsi="宋体" w:eastAsia="宋体" w:cs="宋体"/>
      <w:color w:val="000000"/>
      <w:sz w:val="24"/>
      <w:szCs w:val="24"/>
      <w:u w:val="none"/>
    </w:rPr>
  </w:style>
  <w:style w:type="character" w:styleId="1370" w:customStyle="1">
    <w:name w:val="font51"/>
    <w:link w:val="926"/>
    <w:uiPriority w:val="0"/>
    <w:qFormat/>
    <w:rPr>
      <w:rFonts w:hint="eastAsia" w:ascii="宋体" w:hAnsi="宋体" w:eastAsia="宋体" w:cs="宋体"/>
      <w:color w:val="ff0000"/>
      <w:sz w:val="24"/>
      <w:szCs w:val="24"/>
      <w:u w:val="none"/>
    </w:rPr>
  </w:style>
  <w:style w:type="paragraph" w:styleId="1371" w:customStyle="1">
    <w:name w:val="首行缩进"/>
    <w:uiPriority w:val="0"/>
    <w:qFormat/>
    <w:pPr>
      <w:ind w:firstLine="480"/>
      <w:jc w:val="both"/>
      <w:widowControl w:val="off"/>
    </w:pPr>
    <w:rPr>
      <w:rFonts w:hint="default" w:ascii="Times New Roman" w:hAnsi="Times New Roman" w:eastAsia="宋体" w:cs="Times New Roman"/>
      <w:sz w:val="21"/>
      <w:szCs w:val="24"/>
      <w:lang w:val="zh-CN" w:eastAsia="zh-CN" w:bidi="ar-SA"/>
    </w:rPr>
  </w:style>
  <w:style w:type="character" w:styleId="1372" w:customStyle="1">
    <w:name w:val="font21"/>
    <w:basedOn w:val="936"/>
    <w:uiPriority w:val="0"/>
    <w:qFormat/>
    <w:rPr>
      <w:rFonts w:hint="eastAsia" w:ascii="宋体" w:hAnsi="宋体" w:eastAsia="宋体" w:cs="宋体"/>
      <w:color w:val="000000"/>
      <w:sz w:val="20"/>
      <w:szCs w:val="20"/>
      <w:u w:val="none"/>
    </w:rPr>
  </w:style>
  <w:style w:type="character" w:styleId="1373" w:customStyle="1">
    <w:name w:val="font31"/>
    <w:basedOn w:val="936"/>
    <w:uiPriority w:val="0"/>
    <w:qFormat/>
    <w:rPr>
      <w:rFonts w:hint="eastAsia" w:ascii="宋体" w:hAnsi="宋体" w:eastAsia="宋体" w:cs="宋体"/>
      <w:b/>
      <w:bCs/>
      <w:color w:val="000000"/>
      <w:sz w:val="20"/>
      <w:szCs w:val="20"/>
      <w:u w:val="none"/>
    </w:rPr>
  </w:style>
  <w:style w:type="table" w:styleId="1374" w:customStyle="1">
    <w:name w:val="Grid Table Light"/>
    <w:uiPriority w:val="40"/>
    <w:qFormat/>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numbering" w:styleId="15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赵工</cp:lastModifiedBy>
  <cp:revision>7</cp:revision>
  <dcterms:created xsi:type="dcterms:W3CDTF">2022-05-30T08:08:00Z</dcterms:created>
  <dcterms:modified xsi:type="dcterms:W3CDTF">2026-04-15T06:29:53Z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6B9D602927674F8C8C2557DB2CE4B9A1_13</vt:lpwstr>
  </property>
  <property fmtid="{D5CDD505-2E9C-101B-9397-08002B2CF9AE}" pid="4" name="KSOTemplateDocerSaveRecord">
    <vt:lpwstr>eyJoZGlkIjoiNDdlMDJkMWY0NzMwOTMyNjM3YWM1MjE4YWZjMjliZmIiLCJ1c2VySWQiOiI2ODQyMTMzNDQifQ==</vt:lpwstr>
  </property>
</Properties>
</file>